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2B1B" w14:textId="57016D04" w:rsidR="008947CE" w:rsidRPr="001111D0" w:rsidRDefault="001111D0" w:rsidP="001111D0">
      <w:pPr>
        <w:jc w:val="center"/>
        <w:rPr>
          <w:b/>
          <w:bCs/>
          <w:sz w:val="28"/>
          <w:szCs w:val="28"/>
        </w:rPr>
      </w:pPr>
      <w:r w:rsidRPr="001111D0">
        <w:rPr>
          <w:b/>
          <w:bCs/>
          <w:sz w:val="28"/>
          <w:szCs w:val="28"/>
        </w:rPr>
        <w:t>Topics for Conference 20</w:t>
      </w:r>
      <w:r w:rsidR="00EA108F">
        <w:rPr>
          <w:b/>
          <w:bCs/>
          <w:sz w:val="28"/>
          <w:szCs w:val="28"/>
        </w:rPr>
        <w:t>2</w:t>
      </w:r>
      <w:r w:rsidR="00DB537A">
        <w:rPr>
          <w:b/>
          <w:bCs/>
          <w:sz w:val="28"/>
          <w:szCs w:val="28"/>
        </w:rPr>
        <w:t>4</w:t>
      </w:r>
      <w:r>
        <w:rPr>
          <w:b/>
          <w:bCs/>
          <w:sz w:val="28"/>
          <w:szCs w:val="28"/>
        </w:rPr>
        <w:t xml:space="preserve"> – Assessment Chart</w:t>
      </w:r>
    </w:p>
    <w:tbl>
      <w:tblPr>
        <w:tblStyle w:val="TableGrid"/>
        <w:tblW w:w="0" w:type="auto"/>
        <w:tblLook w:val="0480" w:firstRow="0" w:lastRow="0" w:firstColumn="1" w:lastColumn="0" w:noHBand="0" w:noVBand="1"/>
      </w:tblPr>
      <w:tblGrid>
        <w:gridCol w:w="1408"/>
        <w:gridCol w:w="6269"/>
        <w:gridCol w:w="840"/>
        <w:gridCol w:w="1082"/>
        <w:gridCol w:w="970"/>
        <w:gridCol w:w="987"/>
        <w:gridCol w:w="2392"/>
      </w:tblGrid>
      <w:tr w:rsidR="004F78BD" w14:paraId="465DD8F6" w14:textId="77777777" w:rsidTr="00720633">
        <w:trPr>
          <w:tblHeader/>
        </w:trPr>
        <w:tc>
          <w:tcPr>
            <w:tcW w:w="1256" w:type="dxa"/>
            <w:shd w:val="clear" w:color="auto" w:fill="E7E6E6" w:themeFill="background2"/>
          </w:tcPr>
          <w:p w14:paraId="36B331A8" w14:textId="77777777" w:rsidR="004F78BD" w:rsidRPr="001111D0" w:rsidRDefault="004F78BD">
            <w:pPr>
              <w:rPr>
                <w:b/>
                <w:bCs/>
                <w:sz w:val="24"/>
                <w:szCs w:val="24"/>
              </w:rPr>
            </w:pPr>
            <w:r w:rsidRPr="001111D0">
              <w:rPr>
                <w:b/>
                <w:bCs/>
                <w:sz w:val="24"/>
                <w:szCs w:val="24"/>
              </w:rPr>
              <w:t>Topic</w:t>
            </w:r>
          </w:p>
        </w:tc>
        <w:tc>
          <w:tcPr>
            <w:tcW w:w="6387" w:type="dxa"/>
            <w:shd w:val="clear" w:color="auto" w:fill="E7E6E6" w:themeFill="background2"/>
          </w:tcPr>
          <w:p w14:paraId="1384CC15" w14:textId="77777777" w:rsidR="004F78BD" w:rsidRPr="00EA02B7" w:rsidRDefault="004F78BD" w:rsidP="002E22EC">
            <w:pPr>
              <w:jc w:val="center"/>
              <w:rPr>
                <w:rFonts w:cstheme="minorHAnsi"/>
                <w:b/>
                <w:bCs/>
              </w:rPr>
            </w:pPr>
            <w:r w:rsidRPr="00EA02B7">
              <w:rPr>
                <w:rFonts w:cstheme="minorHAnsi"/>
                <w:b/>
                <w:bCs/>
              </w:rPr>
              <w:t>Subject</w:t>
            </w:r>
          </w:p>
        </w:tc>
        <w:tc>
          <w:tcPr>
            <w:tcW w:w="841" w:type="dxa"/>
            <w:shd w:val="clear" w:color="auto" w:fill="E7E6E6" w:themeFill="background2"/>
          </w:tcPr>
          <w:p w14:paraId="6895F122" w14:textId="77777777" w:rsidR="004F78BD" w:rsidRPr="001111D0" w:rsidRDefault="004F78BD" w:rsidP="00E31A08">
            <w:pPr>
              <w:jc w:val="center"/>
              <w:rPr>
                <w:b/>
                <w:bCs/>
                <w:sz w:val="24"/>
                <w:szCs w:val="24"/>
              </w:rPr>
            </w:pPr>
            <w:r w:rsidRPr="001111D0">
              <w:rPr>
                <w:b/>
                <w:bCs/>
                <w:sz w:val="24"/>
                <w:szCs w:val="24"/>
              </w:rPr>
              <w:t>Agree</w:t>
            </w:r>
          </w:p>
        </w:tc>
        <w:tc>
          <w:tcPr>
            <w:tcW w:w="1082" w:type="dxa"/>
            <w:shd w:val="clear" w:color="auto" w:fill="E7E6E6" w:themeFill="background2"/>
          </w:tcPr>
          <w:p w14:paraId="5B508555" w14:textId="77777777" w:rsidR="004F78BD" w:rsidRPr="001111D0" w:rsidRDefault="004F78BD" w:rsidP="00E31A08">
            <w:pPr>
              <w:jc w:val="center"/>
              <w:rPr>
                <w:b/>
                <w:bCs/>
                <w:sz w:val="24"/>
                <w:szCs w:val="24"/>
              </w:rPr>
            </w:pPr>
            <w:r w:rsidRPr="001111D0">
              <w:rPr>
                <w:b/>
                <w:bCs/>
                <w:sz w:val="24"/>
                <w:szCs w:val="24"/>
              </w:rPr>
              <w:t>Disagree</w:t>
            </w:r>
          </w:p>
        </w:tc>
        <w:tc>
          <w:tcPr>
            <w:tcW w:w="970" w:type="dxa"/>
            <w:shd w:val="clear" w:color="auto" w:fill="E7E6E6" w:themeFill="background2"/>
          </w:tcPr>
          <w:p w14:paraId="3B1801DE" w14:textId="77777777" w:rsidR="004F78BD" w:rsidRPr="001111D0" w:rsidRDefault="004F78BD" w:rsidP="00E31A08">
            <w:pPr>
              <w:jc w:val="center"/>
              <w:rPr>
                <w:b/>
                <w:bCs/>
                <w:sz w:val="24"/>
                <w:szCs w:val="24"/>
              </w:rPr>
            </w:pPr>
            <w:r w:rsidRPr="001111D0">
              <w:rPr>
                <w:b/>
                <w:bCs/>
                <w:sz w:val="24"/>
                <w:szCs w:val="24"/>
              </w:rPr>
              <w:t>Neutral</w:t>
            </w:r>
          </w:p>
        </w:tc>
        <w:tc>
          <w:tcPr>
            <w:tcW w:w="988" w:type="dxa"/>
            <w:shd w:val="clear" w:color="auto" w:fill="E7E6E6" w:themeFill="background2"/>
          </w:tcPr>
          <w:p w14:paraId="230C8262" w14:textId="77777777" w:rsidR="004F78BD" w:rsidRPr="001111D0" w:rsidRDefault="004F78BD" w:rsidP="00E31A08">
            <w:pPr>
              <w:jc w:val="center"/>
              <w:rPr>
                <w:b/>
                <w:bCs/>
                <w:sz w:val="24"/>
                <w:szCs w:val="24"/>
              </w:rPr>
            </w:pPr>
            <w:r w:rsidRPr="001111D0">
              <w:rPr>
                <w:b/>
                <w:bCs/>
                <w:sz w:val="24"/>
                <w:szCs w:val="24"/>
              </w:rPr>
              <w:t xml:space="preserve">More info </w:t>
            </w:r>
            <w:r>
              <w:rPr>
                <w:b/>
                <w:bCs/>
                <w:sz w:val="24"/>
                <w:szCs w:val="24"/>
              </w:rPr>
              <w:t>needed</w:t>
            </w:r>
          </w:p>
        </w:tc>
        <w:tc>
          <w:tcPr>
            <w:tcW w:w="2424" w:type="dxa"/>
            <w:shd w:val="clear" w:color="auto" w:fill="E7E6E6" w:themeFill="background2"/>
          </w:tcPr>
          <w:p w14:paraId="31F2B02F" w14:textId="77777777" w:rsidR="004F78BD" w:rsidRPr="001111D0" w:rsidRDefault="004F78BD">
            <w:pPr>
              <w:rPr>
                <w:b/>
                <w:bCs/>
                <w:sz w:val="24"/>
                <w:szCs w:val="24"/>
              </w:rPr>
            </w:pPr>
            <w:r w:rsidRPr="001111D0">
              <w:rPr>
                <w:b/>
                <w:bCs/>
                <w:sz w:val="24"/>
                <w:szCs w:val="24"/>
              </w:rPr>
              <w:t>Comments</w:t>
            </w:r>
          </w:p>
        </w:tc>
      </w:tr>
      <w:tr w:rsidR="004F78BD" w14:paraId="21F9FE4E" w14:textId="77777777" w:rsidTr="00720633">
        <w:tc>
          <w:tcPr>
            <w:tcW w:w="1256" w:type="dxa"/>
          </w:tcPr>
          <w:p w14:paraId="0B21D0B3" w14:textId="4C1A0952" w:rsidR="004F78BD" w:rsidRPr="00D8158F" w:rsidRDefault="00F52322" w:rsidP="00B37AE4">
            <w:pPr>
              <w:rPr>
                <w:rFonts w:cs="Arial"/>
                <w:b/>
                <w:bCs/>
                <w:color w:val="000000"/>
                <w:lang w:eastAsia="en-AU"/>
              </w:rPr>
            </w:pPr>
            <w:r w:rsidRPr="00F52322">
              <w:rPr>
                <w:rFonts w:cs="Arial"/>
                <w:b/>
                <w:bCs/>
                <w:color w:val="000000"/>
                <w:lang w:eastAsia="en-AU"/>
              </w:rPr>
              <w:t>TOPIC #001/2024: (Creating a 2/3 Delegate voting majority at Conference</w:t>
            </w:r>
          </w:p>
        </w:tc>
        <w:tc>
          <w:tcPr>
            <w:tcW w:w="6387" w:type="dxa"/>
          </w:tcPr>
          <w:p w14:paraId="3BC6B5AA" w14:textId="096447CE" w:rsidR="004F78BD" w:rsidRPr="004F4D63" w:rsidRDefault="004F78BD" w:rsidP="00FA7372">
            <w:pPr>
              <w:rPr>
                <w:rFonts w:cs="Arial"/>
              </w:rPr>
            </w:pPr>
            <w:r w:rsidRPr="004F4D63">
              <w:rPr>
                <w:rFonts w:ascii="Arial" w:hAnsi="Arial" w:cs="Arial"/>
                <w:b/>
                <w:bCs/>
              </w:rPr>
              <w:t>.</w:t>
            </w:r>
          </w:p>
          <w:p w14:paraId="04BFC4B4" w14:textId="77777777" w:rsidR="00C94B8C" w:rsidRDefault="00C94B8C" w:rsidP="00C94B8C">
            <w:pPr>
              <w:pStyle w:val="Default"/>
              <w:rPr>
                <w:sz w:val="22"/>
                <w:szCs w:val="22"/>
              </w:rPr>
            </w:pPr>
            <w:r>
              <w:rPr>
                <w:sz w:val="22"/>
                <w:szCs w:val="22"/>
              </w:rPr>
              <w:t xml:space="preserve">Creating a 2/3 Delegate voting majority at Conference while respecting Concept IV (Right of Participation) </w:t>
            </w:r>
          </w:p>
          <w:p w14:paraId="4BE9E92F" w14:textId="77777777" w:rsidR="00C94B8C" w:rsidRDefault="00C94B8C" w:rsidP="00C94B8C">
            <w:pPr>
              <w:pStyle w:val="Default"/>
              <w:rPr>
                <w:sz w:val="22"/>
                <w:szCs w:val="22"/>
              </w:rPr>
            </w:pPr>
            <w:r>
              <w:rPr>
                <w:sz w:val="22"/>
                <w:szCs w:val="22"/>
              </w:rPr>
              <w:t xml:space="preserve">In any future AA Australia General Service Conference where Delegates make up less than two thirds majority of overall voting members: </w:t>
            </w:r>
          </w:p>
          <w:p w14:paraId="67A387F7" w14:textId="77777777" w:rsidR="00C94B8C" w:rsidRDefault="00C94B8C" w:rsidP="00C94B8C">
            <w:pPr>
              <w:pStyle w:val="Default"/>
              <w:rPr>
                <w:sz w:val="22"/>
                <w:szCs w:val="22"/>
              </w:rPr>
            </w:pPr>
            <w:r>
              <w:rPr>
                <w:sz w:val="22"/>
                <w:szCs w:val="22"/>
              </w:rPr>
              <w:t xml:space="preserve">• On any vote where all delegates vote the same way, this is to be considered the equivalent of a mathematical 2/3 voting majority. </w:t>
            </w:r>
          </w:p>
          <w:p w14:paraId="07A3EB0C" w14:textId="77777777" w:rsidR="00C94B8C" w:rsidRDefault="00C94B8C" w:rsidP="00C94B8C">
            <w:pPr>
              <w:pStyle w:val="Default"/>
              <w:rPr>
                <w:sz w:val="22"/>
                <w:szCs w:val="22"/>
              </w:rPr>
            </w:pPr>
          </w:p>
          <w:p w14:paraId="367CD672" w14:textId="77777777" w:rsidR="00C94B8C" w:rsidRDefault="00C94B8C" w:rsidP="00C94B8C">
            <w:pPr>
              <w:pStyle w:val="Default"/>
              <w:rPr>
                <w:sz w:val="22"/>
                <w:szCs w:val="22"/>
              </w:rPr>
            </w:pPr>
            <w:r>
              <w:rPr>
                <w:sz w:val="22"/>
                <w:szCs w:val="22"/>
              </w:rPr>
              <w:t xml:space="preserve">2/3 voting majority of Area Delegates at Conference is a long-held desire of the Australian fellowship, with multiple topics being put up in previous years to achieve it; all of which have failed. Why? Commonly, the suggestion is to remove votes from the other voting members of conference, which of course conflicts with Concept IV, AA’s Right of Participation. Bill W himself warns against this: </w:t>
            </w:r>
          </w:p>
          <w:p w14:paraId="6E3B97E5" w14:textId="77777777" w:rsidR="00C94B8C" w:rsidRDefault="00C94B8C" w:rsidP="00C94B8C">
            <w:pPr>
              <w:pStyle w:val="Default"/>
              <w:rPr>
                <w:sz w:val="22"/>
                <w:szCs w:val="22"/>
              </w:rPr>
            </w:pPr>
            <w:r>
              <w:rPr>
                <w:sz w:val="22"/>
                <w:szCs w:val="22"/>
              </w:rPr>
              <w:t>‘</w:t>
            </w:r>
            <w:r>
              <w:rPr>
                <w:i/>
                <w:iCs/>
                <w:sz w:val="22"/>
                <w:szCs w:val="22"/>
              </w:rPr>
              <w:t>Certainly, our Trustees and service workers are no less conscientious, experienced, and wiser than the Delegates. Is there any good reason why their votes are undesirable? Clearly there is none. Hence, we ought to be wary of any future tendency to deny either our Trustees or our service people their Conference votes</w:t>
            </w:r>
            <w:r>
              <w:rPr>
                <w:sz w:val="22"/>
                <w:szCs w:val="22"/>
              </w:rPr>
              <w:t xml:space="preserve">’ – C4 Essay. </w:t>
            </w:r>
          </w:p>
          <w:p w14:paraId="51340696" w14:textId="7F3F2D24" w:rsidR="004F78BD" w:rsidRPr="004F4D63" w:rsidRDefault="00C94B8C" w:rsidP="00C94B8C">
            <w:pPr>
              <w:rPr>
                <w:rFonts w:ascii="Arial" w:hAnsi="Arial" w:cs="Arial"/>
                <w:b/>
              </w:rPr>
            </w:pPr>
            <w:r>
              <w:t>As such, to achieve a 2/3 Delegate majority, a fresh and more spiritual approach is required; one that doesn’t erode C4 – one of AA’s foundation principles</w:t>
            </w:r>
          </w:p>
        </w:tc>
        <w:tc>
          <w:tcPr>
            <w:tcW w:w="841" w:type="dxa"/>
          </w:tcPr>
          <w:p w14:paraId="53ED7B70" w14:textId="77777777" w:rsidR="004F78BD" w:rsidRDefault="004F78BD" w:rsidP="003230AD">
            <w:pPr>
              <w:jc w:val="center"/>
            </w:pPr>
          </w:p>
        </w:tc>
        <w:tc>
          <w:tcPr>
            <w:tcW w:w="1082" w:type="dxa"/>
          </w:tcPr>
          <w:p w14:paraId="58A55473" w14:textId="77777777" w:rsidR="004F78BD" w:rsidRDefault="004F78BD" w:rsidP="003230AD">
            <w:pPr>
              <w:jc w:val="center"/>
            </w:pPr>
          </w:p>
        </w:tc>
        <w:tc>
          <w:tcPr>
            <w:tcW w:w="970" w:type="dxa"/>
          </w:tcPr>
          <w:p w14:paraId="59A594AB" w14:textId="77777777" w:rsidR="004F78BD" w:rsidRDefault="004F78BD" w:rsidP="003230AD">
            <w:pPr>
              <w:jc w:val="center"/>
            </w:pPr>
          </w:p>
        </w:tc>
        <w:tc>
          <w:tcPr>
            <w:tcW w:w="988" w:type="dxa"/>
          </w:tcPr>
          <w:p w14:paraId="40455C9B" w14:textId="77777777" w:rsidR="004F78BD" w:rsidRPr="0042251D" w:rsidRDefault="004F78BD" w:rsidP="003230AD">
            <w:pPr>
              <w:jc w:val="center"/>
              <w:rPr>
                <w:sz w:val="48"/>
                <w:szCs w:val="48"/>
              </w:rPr>
            </w:pPr>
          </w:p>
        </w:tc>
        <w:tc>
          <w:tcPr>
            <w:tcW w:w="2424" w:type="dxa"/>
          </w:tcPr>
          <w:p w14:paraId="3FFE8325" w14:textId="77777777" w:rsidR="004F78BD" w:rsidRDefault="004F78BD" w:rsidP="003230AD"/>
        </w:tc>
      </w:tr>
      <w:tr w:rsidR="004F78BD" w14:paraId="0C9B055A" w14:textId="77777777" w:rsidTr="00720633">
        <w:tc>
          <w:tcPr>
            <w:tcW w:w="1256" w:type="dxa"/>
          </w:tcPr>
          <w:p w14:paraId="0E9DC457" w14:textId="6C4EA5C6" w:rsidR="004F78BD" w:rsidRPr="004F4D63" w:rsidRDefault="00481041" w:rsidP="00171694">
            <w:pPr>
              <w:rPr>
                <w:rFonts w:ascii="Arial" w:hAnsi="Arial" w:cs="Arial"/>
                <w:b/>
                <w:bCs/>
              </w:rPr>
            </w:pPr>
            <w:r w:rsidRPr="00481041">
              <w:rPr>
                <w:rFonts w:ascii="Arial" w:hAnsi="Arial" w:cs="Arial"/>
                <w:b/>
                <w:bCs/>
              </w:rPr>
              <w:t xml:space="preserve">TOPIC #002/2024: </w:t>
            </w:r>
            <w:r w:rsidRPr="00481041">
              <w:rPr>
                <w:rFonts w:ascii="Arial" w:hAnsi="Arial" w:cs="Arial"/>
                <w:b/>
                <w:bCs/>
              </w:rPr>
              <w:lastRenderedPageBreak/>
              <w:t>(2/3 Majority)</w:t>
            </w:r>
          </w:p>
          <w:p w14:paraId="5581F474" w14:textId="77777777" w:rsidR="004F78BD" w:rsidRPr="00D8158F" w:rsidRDefault="004F78BD" w:rsidP="003230AD">
            <w:pPr>
              <w:rPr>
                <w:rFonts w:cs="Arial"/>
                <w:b/>
                <w:bCs/>
                <w:color w:val="000000"/>
                <w:lang w:eastAsia="en-AU"/>
              </w:rPr>
            </w:pPr>
          </w:p>
        </w:tc>
        <w:tc>
          <w:tcPr>
            <w:tcW w:w="6387" w:type="dxa"/>
          </w:tcPr>
          <w:p w14:paraId="52396E40" w14:textId="77777777" w:rsidR="00F42995" w:rsidRDefault="00F42995" w:rsidP="00F42995">
            <w:pPr>
              <w:pStyle w:val="Default"/>
              <w:rPr>
                <w:sz w:val="22"/>
                <w:szCs w:val="22"/>
              </w:rPr>
            </w:pPr>
            <w:r>
              <w:rPr>
                <w:sz w:val="22"/>
                <w:szCs w:val="22"/>
              </w:rPr>
              <w:lastRenderedPageBreak/>
              <w:t xml:space="preserve">The 2/3 majority Area Delegate issue again – can we be inclusive and democratic? </w:t>
            </w:r>
          </w:p>
          <w:p w14:paraId="00477135" w14:textId="77777777" w:rsidR="00F42995" w:rsidRDefault="00F42995" w:rsidP="00F42995">
            <w:pPr>
              <w:pStyle w:val="Default"/>
              <w:rPr>
                <w:sz w:val="22"/>
                <w:szCs w:val="22"/>
              </w:rPr>
            </w:pPr>
            <w:r>
              <w:rPr>
                <w:sz w:val="22"/>
                <w:szCs w:val="22"/>
              </w:rPr>
              <w:lastRenderedPageBreak/>
              <w:t xml:space="preserve">Use this Topic to consult the fellowship in Alcoholics Anonymous Australia to see if there is need for a National Group Conscience on this again at Conference. </w:t>
            </w:r>
          </w:p>
          <w:p w14:paraId="4FCEBD91" w14:textId="77777777" w:rsidR="00F42995" w:rsidRDefault="00F42995" w:rsidP="00F42995">
            <w:pPr>
              <w:pStyle w:val="Default"/>
              <w:rPr>
                <w:sz w:val="22"/>
                <w:szCs w:val="22"/>
              </w:rPr>
            </w:pPr>
            <w:r>
              <w:rPr>
                <w:sz w:val="22"/>
                <w:szCs w:val="22"/>
              </w:rPr>
              <w:t xml:space="preserve">Permit all AA members the chance to be informed rather than being told that it is needed. Find out if is a need to proceed with divisive discussion on an issue that may not be viewed as an issue when the fellowship </w:t>
            </w:r>
            <w:proofErr w:type="gramStart"/>
            <w:r>
              <w:rPr>
                <w:sz w:val="22"/>
                <w:szCs w:val="22"/>
              </w:rPr>
              <w:t>are</w:t>
            </w:r>
            <w:proofErr w:type="gramEnd"/>
            <w:r>
              <w:rPr>
                <w:sz w:val="22"/>
                <w:szCs w:val="22"/>
              </w:rPr>
              <w:t xml:space="preserve"> allowed a chance to consider and view our literature for themselves. </w:t>
            </w:r>
          </w:p>
          <w:p w14:paraId="494B502C" w14:textId="77777777" w:rsidR="00F42995" w:rsidRDefault="00F42995" w:rsidP="00F42995">
            <w:pPr>
              <w:pStyle w:val="Default"/>
              <w:rPr>
                <w:sz w:val="22"/>
                <w:szCs w:val="22"/>
              </w:rPr>
            </w:pPr>
            <w:r>
              <w:rPr>
                <w:sz w:val="22"/>
                <w:szCs w:val="22"/>
              </w:rPr>
              <w:t xml:space="preserve">If a bigger topic needs to be created to fully inform and we must wait until 2025 to do it </w:t>
            </w:r>
            <w:proofErr w:type="gramStart"/>
            <w:r>
              <w:rPr>
                <w:sz w:val="22"/>
                <w:szCs w:val="22"/>
              </w:rPr>
              <w:t>right</w:t>
            </w:r>
            <w:proofErr w:type="gramEnd"/>
            <w:r>
              <w:rPr>
                <w:sz w:val="22"/>
                <w:szCs w:val="22"/>
              </w:rPr>
              <w:t xml:space="preserve"> then that is good thing and best for AA as a whole to make sure everyone is having opportunity to consider it. </w:t>
            </w:r>
          </w:p>
          <w:p w14:paraId="694F90CF" w14:textId="77777777" w:rsidR="00F42995" w:rsidRDefault="00F42995" w:rsidP="00F42995">
            <w:pPr>
              <w:pStyle w:val="Default"/>
              <w:rPr>
                <w:sz w:val="22"/>
                <w:szCs w:val="22"/>
              </w:rPr>
            </w:pPr>
            <w:r>
              <w:rPr>
                <w:sz w:val="22"/>
                <w:szCs w:val="22"/>
              </w:rPr>
              <w:t xml:space="preserve">If the delegates return with a no vote, then conference can move on from time consuming nitpicking process debates and get focused on helping develop things that will save alkies. </w:t>
            </w:r>
          </w:p>
          <w:p w14:paraId="2C733376" w14:textId="77777777" w:rsidR="00F42995" w:rsidRDefault="00F42995" w:rsidP="00F42995">
            <w:pPr>
              <w:pStyle w:val="Default"/>
              <w:rPr>
                <w:sz w:val="22"/>
                <w:szCs w:val="22"/>
              </w:rPr>
            </w:pPr>
            <w:r>
              <w:rPr>
                <w:sz w:val="22"/>
                <w:szCs w:val="22"/>
              </w:rPr>
              <w:t xml:space="preserve">The Concepts exist to guide us. Let’s use this one. </w:t>
            </w:r>
          </w:p>
          <w:p w14:paraId="5A89FCAC" w14:textId="77777777" w:rsidR="00F42995" w:rsidRDefault="00F42995" w:rsidP="00F42995">
            <w:pPr>
              <w:pStyle w:val="Default"/>
              <w:rPr>
                <w:sz w:val="22"/>
                <w:szCs w:val="22"/>
              </w:rPr>
            </w:pPr>
            <w:r>
              <w:rPr>
                <w:sz w:val="22"/>
                <w:szCs w:val="22"/>
              </w:rPr>
              <w:t xml:space="preserve">From Concept 12 </w:t>
            </w:r>
          </w:p>
          <w:p w14:paraId="7AAF4545" w14:textId="77777777" w:rsidR="00F42995" w:rsidRDefault="00F42995" w:rsidP="00F42995">
            <w:pPr>
              <w:pStyle w:val="Default"/>
              <w:rPr>
                <w:sz w:val="22"/>
                <w:szCs w:val="22"/>
              </w:rPr>
            </w:pPr>
            <w:r>
              <w:rPr>
                <w:sz w:val="22"/>
                <w:szCs w:val="22"/>
              </w:rPr>
              <w:t>The Conference shall observe the spirit of AA Tradition, taking care that it never becomes the seat of perilous wealth or power</w:t>
            </w:r>
            <w:proofErr w:type="gramStart"/>
            <w:r>
              <w:rPr>
                <w:sz w:val="22"/>
                <w:szCs w:val="22"/>
              </w:rPr>
              <w:t>….that</w:t>
            </w:r>
            <w:proofErr w:type="gramEnd"/>
            <w:r>
              <w:rPr>
                <w:sz w:val="22"/>
                <w:szCs w:val="22"/>
              </w:rPr>
              <w:t xml:space="preserve"> it reach all important decisions by discussion, vote, and whenever possible, sustainable unanimity,….that it never perform acts of government, that, like the Society it serves, it will always remain </w:t>
            </w:r>
            <w:r>
              <w:rPr>
                <w:b/>
                <w:bCs/>
                <w:sz w:val="22"/>
                <w:szCs w:val="22"/>
              </w:rPr>
              <w:t xml:space="preserve">democratic </w:t>
            </w:r>
            <w:r>
              <w:rPr>
                <w:sz w:val="22"/>
                <w:szCs w:val="22"/>
              </w:rPr>
              <w:t xml:space="preserve">in thought and action. </w:t>
            </w:r>
          </w:p>
          <w:p w14:paraId="310172C3" w14:textId="77777777" w:rsidR="00F42995" w:rsidRDefault="00F42995" w:rsidP="00F42995">
            <w:pPr>
              <w:pStyle w:val="Default"/>
              <w:rPr>
                <w:sz w:val="22"/>
                <w:szCs w:val="22"/>
              </w:rPr>
            </w:pPr>
            <w:r>
              <w:rPr>
                <w:sz w:val="22"/>
                <w:szCs w:val="22"/>
              </w:rPr>
              <w:t xml:space="preserve">As a former delegate I have seen for myself the time-consuming and disunity effects of this topic when it gets brought to conference when the topics ask for it to be solved. Never have we the members </w:t>
            </w:r>
            <w:proofErr w:type="gramStart"/>
            <w:r>
              <w:rPr>
                <w:sz w:val="22"/>
                <w:szCs w:val="22"/>
              </w:rPr>
              <w:t>actually been</w:t>
            </w:r>
            <w:proofErr w:type="gramEnd"/>
            <w:r>
              <w:rPr>
                <w:sz w:val="22"/>
                <w:szCs w:val="22"/>
              </w:rPr>
              <w:t xml:space="preserve"> asked as a whole if it is even something we all want addressed. </w:t>
            </w:r>
          </w:p>
          <w:p w14:paraId="11E2F472" w14:textId="1F9C5EB6" w:rsidR="004F78BD" w:rsidRPr="004F4D63" w:rsidRDefault="00F42995" w:rsidP="00F42995">
            <w:pPr>
              <w:rPr>
                <w:rFonts w:cs="Arial"/>
                <w:b/>
                <w:bCs/>
              </w:rPr>
            </w:pPr>
            <w:r>
              <w:t xml:space="preserve">I think that if this topic is discussed through the proper channels of communication via delegates and GSRs and groups conference will </w:t>
            </w:r>
            <w:r>
              <w:lastRenderedPageBreak/>
              <w:t xml:space="preserve">know if the members of AA want the time of their trusted conference servants spent on this. </w:t>
            </w:r>
            <w:proofErr w:type="spellStart"/>
            <w:r>
              <w:t>Isnt</w:t>
            </w:r>
            <w:proofErr w:type="spellEnd"/>
            <w:r>
              <w:t xml:space="preserve"> that truly democratic?</w:t>
            </w:r>
          </w:p>
        </w:tc>
        <w:tc>
          <w:tcPr>
            <w:tcW w:w="841" w:type="dxa"/>
          </w:tcPr>
          <w:p w14:paraId="4AC87249" w14:textId="77777777" w:rsidR="004F78BD" w:rsidRDefault="004F78BD" w:rsidP="003230AD">
            <w:pPr>
              <w:jc w:val="center"/>
            </w:pPr>
          </w:p>
        </w:tc>
        <w:tc>
          <w:tcPr>
            <w:tcW w:w="1082" w:type="dxa"/>
          </w:tcPr>
          <w:p w14:paraId="06D52F31" w14:textId="77777777" w:rsidR="004F78BD" w:rsidRDefault="004F78BD" w:rsidP="003230AD">
            <w:pPr>
              <w:jc w:val="center"/>
            </w:pPr>
          </w:p>
        </w:tc>
        <w:tc>
          <w:tcPr>
            <w:tcW w:w="970" w:type="dxa"/>
          </w:tcPr>
          <w:p w14:paraId="3B802805" w14:textId="77777777" w:rsidR="004F78BD" w:rsidRDefault="004F78BD" w:rsidP="003230AD">
            <w:pPr>
              <w:jc w:val="center"/>
            </w:pPr>
          </w:p>
        </w:tc>
        <w:tc>
          <w:tcPr>
            <w:tcW w:w="988" w:type="dxa"/>
          </w:tcPr>
          <w:p w14:paraId="3E8C0AA7" w14:textId="77777777" w:rsidR="004F78BD" w:rsidRPr="0042251D" w:rsidRDefault="004F78BD" w:rsidP="003230AD">
            <w:pPr>
              <w:jc w:val="center"/>
              <w:rPr>
                <w:sz w:val="48"/>
                <w:szCs w:val="48"/>
              </w:rPr>
            </w:pPr>
          </w:p>
        </w:tc>
        <w:tc>
          <w:tcPr>
            <w:tcW w:w="2424" w:type="dxa"/>
          </w:tcPr>
          <w:p w14:paraId="1D818369" w14:textId="77777777" w:rsidR="004F78BD" w:rsidRDefault="004F78BD" w:rsidP="003230AD"/>
        </w:tc>
      </w:tr>
      <w:tr w:rsidR="004F78BD" w14:paraId="273B643B" w14:textId="77777777" w:rsidTr="00720633">
        <w:tc>
          <w:tcPr>
            <w:tcW w:w="1256" w:type="dxa"/>
          </w:tcPr>
          <w:p w14:paraId="3228F5A2" w14:textId="16EBDDA2" w:rsidR="004F78BD" w:rsidRPr="00816947" w:rsidRDefault="00E976A3" w:rsidP="003230AD">
            <w:pPr>
              <w:rPr>
                <w:b/>
                <w:bCs/>
              </w:rPr>
            </w:pPr>
            <w:r w:rsidRPr="00E976A3">
              <w:rPr>
                <w:b/>
                <w:bCs/>
              </w:rPr>
              <w:lastRenderedPageBreak/>
              <w:t>TOPIC #003/2024: (Cost Equalisation Guideline)</w:t>
            </w:r>
          </w:p>
        </w:tc>
        <w:tc>
          <w:tcPr>
            <w:tcW w:w="6387" w:type="dxa"/>
          </w:tcPr>
          <w:p w14:paraId="68641A92" w14:textId="67234EB3" w:rsidR="004F78BD" w:rsidRPr="004F4D63" w:rsidRDefault="004F78BD" w:rsidP="00C26521">
            <w:pPr>
              <w:pStyle w:val="Header"/>
              <w:tabs>
                <w:tab w:val="clear" w:pos="4320"/>
              </w:tabs>
              <w:spacing w:after="0"/>
              <w:rPr>
                <w:rFonts w:cs="Arial"/>
                <w:b/>
                <w:bCs/>
                <w:szCs w:val="22"/>
              </w:rPr>
            </w:pPr>
            <w:r w:rsidRPr="004F4D63">
              <w:rPr>
                <w:rFonts w:cs="Arial"/>
                <w:b/>
                <w:bCs/>
                <w:szCs w:val="22"/>
              </w:rPr>
              <w:t>.</w:t>
            </w:r>
          </w:p>
          <w:p w14:paraId="15B8D76C" w14:textId="77777777" w:rsidR="0026108C" w:rsidRDefault="0026108C" w:rsidP="0026108C">
            <w:pPr>
              <w:pStyle w:val="Default"/>
              <w:rPr>
                <w:sz w:val="22"/>
                <w:szCs w:val="22"/>
              </w:rPr>
            </w:pPr>
            <w:r>
              <w:rPr>
                <w:sz w:val="22"/>
                <w:szCs w:val="22"/>
              </w:rPr>
              <w:t xml:space="preserve">The General Service Board suggests creating a Cost Equalisation Guideline. </w:t>
            </w:r>
          </w:p>
          <w:p w14:paraId="635C4142" w14:textId="6F2D0557" w:rsidR="004F78BD" w:rsidRPr="00EA02B7" w:rsidRDefault="0026108C" w:rsidP="0026108C">
            <w:pPr>
              <w:rPr>
                <w:rFonts w:cstheme="minorHAnsi"/>
              </w:rPr>
            </w:pPr>
            <w:r>
              <w:t xml:space="preserve">The Board suggests that a Cost </w:t>
            </w:r>
            <w:proofErr w:type="spellStart"/>
            <w:r>
              <w:t>Equalisiation</w:t>
            </w:r>
            <w:proofErr w:type="spellEnd"/>
            <w:r>
              <w:t xml:space="preserve"> Guideline is agreed on to ensure that the expenses of Conference and Board meetings are fairly divided among Areas in a clear and consistent and equitable way</w:t>
            </w:r>
          </w:p>
        </w:tc>
        <w:tc>
          <w:tcPr>
            <w:tcW w:w="841" w:type="dxa"/>
          </w:tcPr>
          <w:p w14:paraId="6540623B" w14:textId="77777777" w:rsidR="004F78BD" w:rsidRDefault="004F78BD" w:rsidP="003230AD">
            <w:pPr>
              <w:jc w:val="center"/>
            </w:pPr>
          </w:p>
        </w:tc>
        <w:tc>
          <w:tcPr>
            <w:tcW w:w="1082" w:type="dxa"/>
          </w:tcPr>
          <w:p w14:paraId="720568CB" w14:textId="77777777" w:rsidR="004F78BD" w:rsidRDefault="004F78BD" w:rsidP="003230AD">
            <w:pPr>
              <w:jc w:val="center"/>
            </w:pPr>
          </w:p>
        </w:tc>
        <w:tc>
          <w:tcPr>
            <w:tcW w:w="970" w:type="dxa"/>
          </w:tcPr>
          <w:p w14:paraId="54921B25" w14:textId="77777777" w:rsidR="004F78BD" w:rsidRDefault="004F78BD" w:rsidP="003230AD">
            <w:pPr>
              <w:jc w:val="center"/>
            </w:pPr>
          </w:p>
        </w:tc>
        <w:tc>
          <w:tcPr>
            <w:tcW w:w="988" w:type="dxa"/>
          </w:tcPr>
          <w:p w14:paraId="04284DC3" w14:textId="77777777" w:rsidR="004F78BD" w:rsidRDefault="004F78BD" w:rsidP="003230AD">
            <w:pPr>
              <w:jc w:val="center"/>
            </w:pPr>
          </w:p>
        </w:tc>
        <w:tc>
          <w:tcPr>
            <w:tcW w:w="2424" w:type="dxa"/>
          </w:tcPr>
          <w:p w14:paraId="193BD3DC" w14:textId="77777777" w:rsidR="004F78BD" w:rsidRDefault="004F78BD" w:rsidP="003230AD"/>
        </w:tc>
      </w:tr>
      <w:tr w:rsidR="004F78BD" w14:paraId="058861AA" w14:textId="77777777" w:rsidTr="00720633">
        <w:tc>
          <w:tcPr>
            <w:tcW w:w="1256" w:type="dxa"/>
          </w:tcPr>
          <w:p w14:paraId="6CCDFEEF" w14:textId="14D3E14F" w:rsidR="004F78BD" w:rsidRPr="00D8158F" w:rsidRDefault="00B37AE4" w:rsidP="00FA568E">
            <w:pPr>
              <w:rPr>
                <w:rFonts w:cs="Arial"/>
                <w:b/>
                <w:bCs/>
                <w:color w:val="000000"/>
                <w:lang w:eastAsia="en-AU"/>
              </w:rPr>
            </w:pPr>
            <w:r w:rsidRPr="00B37AE4">
              <w:rPr>
                <w:rFonts w:cs="Arial"/>
                <w:b/>
                <w:bCs/>
                <w:color w:val="000000"/>
                <w:lang w:eastAsia="en-AU"/>
              </w:rPr>
              <w:t>TOPIC #004/2024: (Update GL-07 PI/CPC in the Guidelines)</w:t>
            </w:r>
          </w:p>
        </w:tc>
        <w:tc>
          <w:tcPr>
            <w:tcW w:w="6387" w:type="dxa"/>
          </w:tcPr>
          <w:p w14:paraId="14666CC0" w14:textId="508F10F4" w:rsidR="004F78BD" w:rsidRDefault="004F78BD" w:rsidP="00D47B8E">
            <w:pPr>
              <w:rPr>
                <w:rFonts w:ascii="Arial" w:hAnsi="Arial" w:cs="Arial"/>
                <w:color w:val="222222"/>
                <w:lang w:eastAsia="en-AU"/>
              </w:rPr>
            </w:pPr>
            <w:r w:rsidRPr="004F4D63">
              <w:rPr>
                <w:rFonts w:ascii="Arial" w:hAnsi="Arial" w:cs="Arial"/>
                <w:color w:val="222222"/>
                <w:lang w:eastAsia="en-AU"/>
              </w:rPr>
              <w:t>.</w:t>
            </w:r>
          </w:p>
          <w:p w14:paraId="3866CDF4" w14:textId="6051B3E2" w:rsidR="004F78BD" w:rsidRPr="004F4D63" w:rsidRDefault="00210833" w:rsidP="00D47B8E">
            <w:pPr>
              <w:rPr>
                <w:rFonts w:cs="Arial"/>
                <w:b/>
                <w:bCs/>
              </w:rPr>
            </w:pPr>
            <w:r>
              <w:t>There is scope for sections to be added on Professional Awareness, the Internet (Facebook), where to find information and general updates from information raised at the 2024 Public Awareness Forum and PI/CPC newsletters and Professional Conferences and Luncheons</w:t>
            </w:r>
          </w:p>
        </w:tc>
        <w:tc>
          <w:tcPr>
            <w:tcW w:w="841" w:type="dxa"/>
          </w:tcPr>
          <w:p w14:paraId="5AF7D910" w14:textId="77777777" w:rsidR="004F78BD" w:rsidRDefault="004F78BD" w:rsidP="003230AD">
            <w:pPr>
              <w:jc w:val="center"/>
            </w:pPr>
          </w:p>
        </w:tc>
        <w:tc>
          <w:tcPr>
            <w:tcW w:w="1082" w:type="dxa"/>
          </w:tcPr>
          <w:p w14:paraId="714F2954" w14:textId="77777777" w:rsidR="004F78BD" w:rsidRDefault="004F78BD" w:rsidP="003230AD">
            <w:pPr>
              <w:jc w:val="center"/>
            </w:pPr>
          </w:p>
        </w:tc>
        <w:tc>
          <w:tcPr>
            <w:tcW w:w="970" w:type="dxa"/>
          </w:tcPr>
          <w:p w14:paraId="04F178A6" w14:textId="77777777" w:rsidR="004F78BD" w:rsidRDefault="004F78BD" w:rsidP="003230AD">
            <w:pPr>
              <w:jc w:val="center"/>
            </w:pPr>
          </w:p>
        </w:tc>
        <w:tc>
          <w:tcPr>
            <w:tcW w:w="988" w:type="dxa"/>
          </w:tcPr>
          <w:p w14:paraId="3EAE38F8" w14:textId="77777777" w:rsidR="004F78BD" w:rsidRPr="0042251D" w:rsidRDefault="004F78BD" w:rsidP="003230AD">
            <w:pPr>
              <w:jc w:val="center"/>
              <w:rPr>
                <w:sz w:val="48"/>
                <w:szCs w:val="48"/>
              </w:rPr>
            </w:pPr>
          </w:p>
        </w:tc>
        <w:tc>
          <w:tcPr>
            <w:tcW w:w="2424" w:type="dxa"/>
          </w:tcPr>
          <w:p w14:paraId="3CCC5291" w14:textId="77777777" w:rsidR="004F78BD" w:rsidRDefault="004F78BD" w:rsidP="003230AD"/>
        </w:tc>
      </w:tr>
      <w:tr w:rsidR="004F78BD" w14:paraId="78068028" w14:textId="77777777" w:rsidTr="00720633">
        <w:tc>
          <w:tcPr>
            <w:tcW w:w="1256" w:type="dxa"/>
          </w:tcPr>
          <w:p w14:paraId="5C177A31" w14:textId="3B3F2E28" w:rsidR="004F78BD" w:rsidRPr="004F4D63" w:rsidRDefault="00FD3434" w:rsidP="007C2550">
            <w:pPr>
              <w:rPr>
                <w:rFonts w:ascii="Arial" w:hAnsi="Arial" w:cs="Arial"/>
              </w:rPr>
            </w:pPr>
            <w:r w:rsidRPr="00FD3434">
              <w:rPr>
                <w:rFonts w:ascii="Arial" w:hAnsi="Arial" w:cs="Arial"/>
                <w:b/>
                <w:bCs/>
              </w:rPr>
              <w:t>TOPIC #005/2024: (Change name from CPC to PA</w:t>
            </w:r>
            <w:r w:rsidRPr="00FD3434">
              <w:rPr>
                <w:rFonts w:ascii="Arial" w:hAnsi="Arial" w:cs="Arial"/>
              </w:rPr>
              <w:t>)</w:t>
            </w:r>
          </w:p>
          <w:p w14:paraId="0BB795ED" w14:textId="77777777" w:rsidR="004F78BD" w:rsidRPr="00D8158F" w:rsidRDefault="004F78BD" w:rsidP="003230AD">
            <w:pPr>
              <w:rPr>
                <w:rFonts w:cs="Arial"/>
                <w:b/>
                <w:bCs/>
                <w:color w:val="000000"/>
                <w:lang w:eastAsia="en-AU"/>
              </w:rPr>
            </w:pPr>
          </w:p>
        </w:tc>
        <w:tc>
          <w:tcPr>
            <w:tcW w:w="6387" w:type="dxa"/>
          </w:tcPr>
          <w:p w14:paraId="2AAB7D60" w14:textId="77777777" w:rsidR="00C67446" w:rsidRDefault="00C67446" w:rsidP="00C67446">
            <w:pPr>
              <w:pStyle w:val="Default"/>
              <w:rPr>
                <w:sz w:val="22"/>
                <w:szCs w:val="22"/>
              </w:rPr>
            </w:pPr>
            <w:r>
              <w:rPr>
                <w:sz w:val="22"/>
                <w:szCs w:val="22"/>
              </w:rPr>
              <w:t xml:space="preserve">Change name of ‘Cooperating with the Professional Community’ to ‘Professional Awareness’ (CPC to PA) </w:t>
            </w:r>
          </w:p>
          <w:p w14:paraId="0FF5A32B" w14:textId="77777777" w:rsidR="00C67446" w:rsidRDefault="00C67446" w:rsidP="00C67446">
            <w:pPr>
              <w:pStyle w:val="Default"/>
              <w:rPr>
                <w:sz w:val="22"/>
                <w:szCs w:val="22"/>
              </w:rPr>
            </w:pPr>
            <w:r>
              <w:rPr>
                <w:sz w:val="22"/>
                <w:szCs w:val="22"/>
              </w:rPr>
              <w:t xml:space="preserve">The Board </w:t>
            </w:r>
            <w:proofErr w:type="gramStart"/>
            <w:r>
              <w:rPr>
                <w:sz w:val="22"/>
                <w:szCs w:val="22"/>
              </w:rPr>
              <w:t>is in agreement</w:t>
            </w:r>
            <w:proofErr w:type="gramEnd"/>
            <w:r>
              <w:rPr>
                <w:sz w:val="22"/>
                <w:szCs w:val="22"/>
              </w:rPr>
              <w:t xml:space="preserve"> for the Topic to be decided at Conference and if accepted by conference will be conducted in accordance with GL-27. Other guidelines will be updated during the upcoming Document Review process. </w:t>
            </w:r>
          </w:p>
          <w:p w14:paraId="5D81738C" w14:textId="77777777" w:rsidR="00C67446" w:rsidRDefault="00C67446" w:rsidP="00C67446">
            <w:pPr>
              <w:pStyle w:val="Default"/>
              <w:rPr>
                <w:sz w:val="22"/>
                <w:szCs w:val="22"/>
              </w:rPr>
            </w:pPr>
            <w:r>
              <w:rPr>
                <w:sz w:val="22"/>
                <w:szCs w:val="22"/>
              </w:rPr>
              <w:t xml:space="preserve">Alcoholics Anonymous (AA) is simplifying its terminology by replacing the term ‘Cooperating with the Professional Community’ with Professional Awareness’ </w:t>
            </w:r>
          </w:p>
          <w:p w14:paraId="4A3AB446" w14:textId="77777777" w:rsidR="00C67446" w:rsidRDefault="00C67446" w:rsidP="00C67446">
            <w:pPr>
              <w:pStyle w:val="Default"/>
              <w:rPr>
                <w:sz w:val="22"/>
                <w:szCs w:val="22"/>
              </w:rPr>
            </w:pPr>
            <w:r>
              <w:rPr>
                <w:sz w:val="22"/>
                <w:szCs w:val="22"/>
              </w:rPr>
              <w:t xml:space="preserve">This can emphasise mutual understanding, education, and destigmatisation of alcohol addiction. </w:t>
            </w:r>
          </w:p>
          <w:p w14:paraId="44835F47" w14:textId="4922C948" w:rsidR="004F78BD" w:rsidRPr="004F4D63" w:rsidRDefault="00C67446" w:rsidP="00C67446">
            <w:pPr>
              <w:pStyle w:val="Header"/>
              <w:tabs>
                <w:tab w:val="clear" w:pos="4320"/>
              </w:tabs>
              <w:spacing w:after="0"/>
              <w:rPr>
                <w:rFonts w:cs="Arial"/>
                <w:b/>
              </w:rPr>
            </w:pPr>
            <w:r>
              <w:rPr>
                <w:szCs w:val="22"/>
              </w:rPr>
              <w:t>By promoting transparency and respect for professional boundaries, AA aims to enhance support for individuals seeking recovery</w:t>
            </w:r>
          </w:p>
        </w:tc>
        <w:tc>
          <w:tcPr>
            <w:tcW w:w="841" w:type="dxa"/>
          </w:tcPr>
          <w:p w14:paraId="7EEB099F" w14:textId="77777777" w:rsidR="004F78BD" w:rsidRDefault="004F78BD" w:rsidP="003230AD">
            <w:pPr>
              <w:jc w:val="center"/>
            </w:pPr>
          </w:p>
        </w:tc>
        <w:tc>
          <w:tcPr>
            <w:tcW w:w="1082" w:type="dxa"/>
          </w:tcPr>
          <w:p w14:paraId="19DD0902" w14:textId="77777777" w:rsidR="004F78BD" w:rsidRDefault="004F78BD" w:rsidP="003230AD">
            <w:pPr>
              <w:jc w:val="center"/>
            </w:pPr>
          </w:p>
        </w:tc>
        <w:tc>
          <w:tcPr>
            <w:tcW w:w="970" w:type="dxa"/>
          </w:tcPr>
          <w:p w14:paraId="4FAF4919" w14:textId="77777777" w:rsidR="004F78BD" w:rsidRDefault="004F78BD" w:rsidP="003230AD">
            <w:pPr>
              <w:jc w:val="center"/>
            </w:pPr>
          </w:p>
        </w:tc>
        <w:tc>
          <w:tcPr>
            <w:tcW w:w="988" w:type="dxa"/>
          </w:tcPr>
          <w:p w14:paraId="129426D7" w14:textId="77777777" w:rsidR="004F78BD" w:rsidRPr="0042251D" w:rsidRDefault="004F78BD" w:rsidP="003230AD">
            <w:pPr>
              <w:jc w:val="center"/>
              <w:rPr>
                <w:sz w:val="48"/>
                <w:szCs w:val="48"/>
              </w:rPr>
            </w:pPr>
          </w:p>
        </w:tc>
        <w:tc>
          <w:tcPr>
            <w:tcW w:w="2424" w:type="dxa"/>
          </w:tcPr>
          <w:p w14:paraId="58A2C904" w14:textId="77777777" w:rsidR="004F78BD" w:rsidRDefault="004F78BD" w:rsidP="003230AD"/>
        </w:tc>
      </w:tr>
      <w:tr w:rsidR="004F78BD" w14:paraId="4DFDEDB1" w14:textId="77777777" w:rsidTr="00720633">
        <w:tc>
          <w:tcPr>
            <w:tcW w:w="1256" w:type="dxa"/>
          </w:tcPr>
          <w:p w14:paraId="4B8ECD5B" w14:textId="58910706" w:rsidR="004F78BD" w:rsidRPr="00D8158F" w:rsidRDefault="0018579D" w:rsidP="00C67446">
            <w:pPr>
              <w:rPr>
                <w:rFonts w:cs="Arial"/>
                <w:b/>
                <w:bCs/>
                <w:color w:val="000000"/>
                <w:lang w:eastAsia="en-AU"/>
              </w:rPr>
            </w:pPr>
            <w:r w:rsidRPr="0018579D">
              <w:rPr>
                <w:rFonts w:cs="Arial"/>
                <w:b/>
                <w:bCs/>
                <w:color w:val="000000"/>
                <w:lang w:eastAsia="en-AU"/>
              </w:rPr>
              <w:lastRenderedPageBreak/>
              <w:t>TOPIC #006/2024: (Flow Chart for PI Material)</w:t>
            </w:r>
          </w:p>
        </w:tc>
        <w:tc>
          <w:tcPr>
            <w:tcW w:w="6387" w:type="dxa"/>
          </w:tcPr>
          <w:p w14:paraId="4068F23A" w14:textId="1B8A3802" w:rsidR="004F78BD" w:rsidRPr="004F4D63" w:rsidRDefault="004F78BD" w:rsidP="00D47B8E">
            <w:pPr>
              <w:rPr>
                <w:rFonts w:ascii="Arial" w:hAnsi="Arial" w:cs="Arial"/>
                <w:b/>
                <w:bCs/>
                <w:lang w:eastAsia="en-AU"/>
              </w:rPr>
            </w:pPr>
            <w:r w:rsidRPr="004F4D63">
              <w:rPr>
                <w:rFonts w:ascii="Arial" w:hAnsi="Arial" w:cs="Arial"/>
                <w:b/>
                <w:bCs/>
                <w:color w:val="000000"/>
                <w:lang w:eastAsia="en-AU"/>
              </w:rPr>
              <w:t>.</w:t>
            </w:r>
          </w:p>
          <w:p w14:paraId="47340852" w14:textId="77777777" w:rsidR="00064637" w:rsidRDefault="00064637" w:rsidP="00064637">
            <w:pPr>
              <w:pStyle w:val="Default"/>
              <w:rPr>
                <w:sz w:val="22"/>
                <w:szCs w:val="22"/>
              </w:rPr>
            </w:pPr>
            <w:r>
              <w:rPr>
                <w:sz w:val="22"/>
                <w:szCs w:val="22"/>
              </w:rPr>
              <w:t xml:space="preserve">Public Information (PI) and Professional Awareness (PA) flow chart for development and approval of PI/PA material. </w:t>
            </w:r>
          </w:p>
          <w:p w14:paraId="32301239" w14:textId="77777777" w:rsidR="00064637" w:rsidRDefault="00064637" w:rsidP="00064637">
            <w:pPr>
              <w:pStyle w:val="Default"/>
              <w:rPr>
                <w:sz w:val="22"/>
                <w:szCs w:val="22"/>
              </w:rPr>
            </w:pPr>
            <w:r>
              <w:rPr>
                <w:sz w:val="22"/>
                <w:szCs w:val="22"/>
              </w:rPr>
              <w:t xml:space="preserve">For groups, districts and areas to be given a clear flow chart for the development and approval of new PI/PA material. </w:t>
            </w:r>
          </w:p>
          <w:p w14:paraId="15217091" w14:textId="7937E5C7" w:rsidR="004F78BD" w:rsidRPr="004F4D63" w:rsidRDefault="00064637" w:rsidP="00064637">
            <w:pPr>
              <w:rPr>
                <w:rFonts w:cs="Arial"/>
                <w:b/>
                <w:bCs/>
              </w:rPr>
            </w:pPr>
            <w:r>
              <w:t xml:space="preserve">A conference working committee to develop a flow chart for development/approval </w:t>
            </w:r>
            <w:proofErr w:type="spellStart"/>
            <w:r>
              <w:t>fo</w:t>
            </w:r>
            <w:proofErr w:type="spellEnd"/>
            <w:r>
              <w:t xml:space="preserve"> PI/PA material. The flow chart to be in the spirit of ‘Flow Chart for Development of an AA Pamphlet’ from Section 11 ‘AA Literature’ of the Service Manual.</w:t>
            </w:r>
          </w:p>
        </w:tc>
        <w:tc>
          <w:tcPr>
            <w:tcW w:w="841" w:type="dxa"/>
          </w:tcPr>
          <w:p w14:paraId="3EE827D1" w14:textId="77777777" w:rsidR="004F78BD" w:rsidRDefault="004F78BD" w:rsidP="003230AD">
            <w:pPr>
              <w:jc w:val="center"/>
            </w:pPr>
          </w:p>
        </w:tc>
        <w:tc>
          <w:tcPr>
            <w:tcW w:w="1082" w:type="dxa"/>
          </w:tcPr>
          <w:p w14:paraId="6B4C5F28" w14:textId="77777777" w:rsidR="004F78BD" w:rsidRDefault="004F78BD" w:rsidP="003230AD">
            <w:pPr>
              <w:jc w:val="center"/>
            </w:pPr>
          </w:p>
        </w:tc>
        <w:tc>
          <w:tcPr>
            <w:tcW w:w="970" w:type="dxa"/>
          </w:tcPr>
          <w:p w14:paraId="6BEB6063" w14:textId="77777777" w:rsidR="004F78BD" w:rsidRDefault="004F78BD" w:rsidP="003230AD">
            <w:pPr>
              <w:jc w:val="center"/>
            </w:pPr>
          </w:p>
        </w:tc>
        <w:tc>
          <w:tcPr>
            <w:tcW w:w="988" w:type="dxa"/>
          </w:tcPr>
          <w:p w14:paraId="3FDDB4AB" w14:textId="77777777" w:rsidR="004F78BD" w:rsidRPr="0042251D" w:rsidRDefault="004F78BD" w:rsidP="003230AD">
            <w:pPr>
              <w:jc w:val="center"/>
              <w:rPr>
                <w:sz w:val="48"/>
                <w:szCs w:val="48"/>
              </w:rPr>
            </w:pPr>
          </w:p>
        </w:tc>
        <w:tc>
          <w:tcPr>
            <w:tcW w:w="2424" w:type="dxa"/>
          </w:tcPr>
          <w:p w14:paraId="3768E3F5" w14:textId="77777777" w:rsidR="004F78BD" w:rsidRDefault="004F78BD" w:rsidP="003230AD"/>
        </w:tc>
      </w:tr>
      <w:tr w:rsidR="004F78BD" w14:paraId="1A86335D" w14:textId="77777777" w:rsidTr="00720633">
        <w:tc>
          <w:tcPr>
            <w:tcW w:w="1256" w:type="dxa"/>
          </w:tcPr>
          <w:p w14:paraId="5A3CD1A0" w14:textId="29563FCD" w:rsidR="004F78BD" w:rsidRPr="00D8158F" w:rsidRDefault="00D60CA5" w:rsidP="00064637">
            <w:pPr>
              <w:shd w:val="clear" w:color="auto" w:fill="FFFFFF"/>
              <w:rPr>
                <w:rFonts w:cs="Arial"/>
                <w:b/>
                <w:bCs/>
                <w:color w:val="000000"/>
                <w:lang w:eastAsia="en-AU"/>
              </w:rPr>
            </w:pPr>
            <w:r w:rsidRPr="00D60CA5">
              <w:rPr>
                <w:rFonts w:cs="Arial"/>
                <w:b/>
                <w:bCs/>
                <w:color w:val="000000"/>
                <w:lang w:eastAsia="en-AU"/>
              </w:rPr>
              <w:t>TOPIC #007/2024: (World Service Delegate’s vote)</w:t>
            </w:r>
          </w:p>
        </w:tc>
        <w:tc>
          <w:tcPr>
            <w:tcW w:w="6387" w:type="dxa"/>
          </w:tcPr>
          <w:p w14:paraId="19C73E50" w14:textId="77777777" w:rsidR="00794731" w:rsidRDefault="00794731" w:rsidP="00794731">
            <w:pPr>
              <w:pStyle w:val="Default"/>
              <w:rPr>
                <w:sz w:val="22"/>
                <w:szCs w:val="22"/>
              </w:rPr>
            </w:pPr>
            <w:r>
              <w:rPr>
                <w:sz w:val="22"/>
                <w:szCs w:val="22"/>
              </w:rPr>
              <w:t xml:space="preserve">Ratio of Delegate to non-Delegate Conference Members - World Service Delegate’s vote </w:t>
            </w:r>
          </w:p>
          <w:p w14:paraId="0BAE36EB" w14:textId="77777777" w:rsidR="00794731" w:rsidRDefault="00794731" w:rsidP="00794731">
            <w:pPr>
              <w:pStyle w:val="Default"/>
              <w:rPr>
                <w:sz w:val="22"/>
                <w:szCs w:val="22"/>
              </w:rPr>
            </w:pPr>
            <w:r>
              <w:rPr>
                <w:sz w:val="22"/>
                <w:szCs w:val="22"/>
              </w:rPr>
              <w:t xml:space="preserve">The General Service Board recommends revising our structure and updating our service manual and all other relevant service documents to align with our founders' original intent, and our own long stated ideal that delegates comprise at least two-thirds of Conference members. </w:t>
            </w:r>
          </w:p>
          <w:p w14:paraId="1F9B0244" w14:textId="357D7D29" w:rsidR="004F78BD" w:rsidRPr="004F4D63" w:rsidRDefault="00794731" w:rsidP="00794731">
            <w:pPr>
              <w:shd w:val="clear" w:color="auto" w:fill="FFFFFF"/>
              <w:rPr>
                <w:rFonts w:cs="Arial"/>
                <w:b/>
                <w:bCs/>
              </w:rPr>
            </w:pPr>
            <w:r>
              <w:t>To help achieve this the Board further recommends that while continuing to welcome with gratitude the ongoing participation and valuable contributions of the World Service Delegates at Conference, we transition away from the two World Service Delegates continuing to have vote at Conference (to take effect after the current WSDs appointees rotate out, as they accepted their positions under the current arrangement).</w:t>
            </w:r>
          </w:p>
        </w:tc>
        <w:tc>
          <w:tcPr>
            <w:tcW w:w="841" w:type="dxa"/>
          </w:tcPr>
          <w:p w14:paraId="18B2A1A1" w14:textId="77777777" w:rsidR="004F78BD" w:rsidRDefault="004F78BD" w:rsidP="003230AD">
            <w:pPr>
              <w:jc w:val="center"/>
            </w:pPr>
          </w:p>
        </w:tc>
        <w:tc>
          <w:tcPr>
            <w:tcW w:w="1082" w:type="dxa"/>
          </w:tcPr>
          <w:p w14:paraId="17EF5670" w14:textId="77777777" w:rsidR="004F78BD" w:rsidRDefault="004F78BD" w:rsidP="003230AD">
            <w:pPr>
              <w:jc w:val="center"/>
            </w:pPr>
          </w:p>
        </w:tc>
        <w:tc>
          <w:tcPr>
            <w:tcW w:w="970" w:type="dxa"/>
          </w:tcPr>
          <w:p w14:paraId="53D3BBF6" w14:textId="77777777" w:rsidR="004F78BD" w:rsidRDefault="004F78BD" w:rsidP="003230AD">
            <w:pPr>
              <w:jc w:val="center"/>
            </w:pPr>
          </w:p>
        </w:tc>
        <w:tc>
          <w:tcPr>
            <w:tcW w:w="988" w:type="dxa"/>
          </w:tcPr>
          <w:p w14:paraId="7CDEABD3" w14:textId="77777777" w:rsidR="004F78BD" w:rsidRPr="0042251D" w:rsidRDefault="004F78BD" w:rsidP="003230AD">
            <w:pPr>
              <w:jc w:val="center"/>
              <w:rPr>
                <w:sz w:val="48"/>
                <w:szCs w:val="48"/>
              </w:rPr>
            </w:pPr>
          </w:p>
        </w:tc>
        <w:tc>
          <w:tcPr>
            <w:tcW w:w="2424" w:type="dxa"/>
          </w:tcPr>
          <w:p w14:paraId="0572A73B" w14:textId="77777777" w:rsidR="004F78BD" w:rsidRDefault="004F78BD" w:rsidP="003230AD"/>
        </w:tc>
      </w:tr>
      <w:tr w:rsidR="004F78BD" w14:paraId="7F61C031" w14:textId="77777777" w:rsidTr="00720633">
        <w:tc>
          <w:tcPr>
            <w:tcW w:w="1256" w:type="dxa"/>
          </w:tcPr>
          <w:p w14:paraId="5F7ED588" w14:textId="30F979A4" w:rsidR="004F78BD" w:rsidRPr="00D8158F" w:rsidRDefault="00A07EC9" w:rsidP="001B14F0">
            <w:pPr>
              <w:rPr>
                <w:rFonts w:cs="Arial"/>
                <w:b/>
                <w:bCs/>
                <w:color w:val="000000"/>
                <w:lang w:eastAsia="en-AU"/>
              </w:rPr>
            </w:pPr>
            <w:r w:rsidRPr="00A07EC9">
              <w:rPr>
                <w:rFonts w:cs="Arial"/>
                <w:b/>
                <w:bCs/>
                <w:color w:val="000000"/>
                <w:lang w:eastAsia="en-AU"/>
              </w:rPr>
              <w:t>TOPIC #008/2024: (Class A Trustee numbers)</w:t>
            </w:r>
          </w:p>
        </w:tc>
        <w:tc>
          <w:tcPr>
            <w:tcW w:w="6387" w:type="dxa"/>
          </w:tcPr>
          <w:p w14:paraId="1FD2AA42" w14:textId="209376A0" w:rsidR="004F78BD" w:rsidRPr="004F4D63" w:rsidRDefault="004F78BD" w:rsidP="00CD5047">
            <w:pPr>
              <w:pStyle w:val="Header"/>
              <w:tabs>
                <w:tab w:val="clear" w:pos="4320"/>
              </w:tabs>
              <w:spacing w:after="0"/>
              <w:rPr>
                <w:rFonts w:cs="Arial"/>
                <w:b/>
                <w:bCs/>
                <w:szCs w:val="22"/>
              </w:rPr>
            </w:pPr>
            <w:r w:rsidRPr="004F4D63">
              <w:rPr>
                <w:rFonts w:cs="Arial"/>
                <w:b/>
                <w:bCs/>
                <w:color w:val="000000"/>
                <w:szCs w:val="22"/>
              </w:rPr>
              <w:t>.</w:t>
            </w:r>
          </w:p>
          <w:p w14:paraId="20E87623" w14:textId="77777777" w:rsidR="006469F5" w:rsidRDefault="006469F5" w:rsidP="006469F5">
            <w:pPr>
              <w:pStyle w:val="Default"/>
              <w:rPr>
                <w:sz w:val="22"/>
                <w:szCs w:val="22"/>
              </w:rPr>
            </w:pPr>
            <w:r>
              <w:rPr>
                <w:sz w:val="22"/>
                <w:szCs w:val="22"/>
              </w:rPr>
              <w:t xml:space="preserve">Ratio of Delegate to non-Delegate Conference Members - Class A numbers. </w:t>
            </w:r>
          </w:p>
          <w:p w14:paraId="1108D12B" w14:textId="77777777" w:rsidR="006469F5" w:rsidRDefault="006469F5" w:rsidP="006469F5">
            <w:pPr>
              <w:pStyle w:val="Default"/>
              <w:rPr>
                <w:sz w:val="22"/>
                <w:szCs w:val="22"/>
              </w:rPr>
            </w:pPr>
            <w:r>
              <w:rPr>
                <w:sz w:val="22"/>
                <w:szCs w:val="22"/>
              </w:rPr>
              <w:t xml:space="preserve">The General Service Board recommends revising our structure and updating our service manual and all other relevant service documents to align with our founders' original intent, and our own </w:t>
            </w:r>
            <w:r>
              <w:rPr>
                <w:sz w:val="22"/>
                <w:szCs w:val="22"/>
              </w:rPr>
              <w:lastRenderedPageBreak/>
              <w:t xml:space="preserve">long stated ideal that delegates comprise at least two-thirds of Conference members. </w:t>
            </w:r>
          </w:p>
          <w:p w14:paraId="6FDA765F" w14:textId="1A4D17CB" w:rsidR="004F78BD" w:rsidRPr="004F4D63" w:rsidRDefault="006469F5" w:rsidP="006469F5">
            <w:pPr>
              <w:rPr>
                <w:rFonts w:ascii="Arial" w:hAnsi="Arial" w:cs="Arial"/>
                <w:b/>
              </w:rPr>
            </w:pPr>
            <w:r>
              <w:t>With deep gratitude for the dedication and invaluable contributions of our esteemed Class A Trustees, the Board proposes an adjustment to our Service Manual and Charter and other relevant documents, reducing the maximum number of Class A Trustees from 4 to 2.</w:t>
            </w:r>
          </w:p>
        </w:tc>
        <w:tc>
          <w:tcPr>
            <w:tcW w:w="841" w:type="dxa"/>
          </w:tcPr>
          <w:p w14:paraId="2AFC16E5" w14:textId="77777777" w:rsidR="004F78BD" w:rsidRDefault="004F78BD" w:rsidP="003230AD">
            <w:pPr>
              <w:jc w:val="center"/>
            </w:pPr>
          </w:p>
        </w:tc>
        <w:tc>
          <w:tcPr>
            <w:tcW w:w="1082" w:type="dxa"/>
          </w:tcPr>
          <w:p w14:paraId="240716C0" w14:textId="77777777" w:rsidR="004F78BD" w:rsidRDefault="004F78BD" w:rsidP="003230AD">
            <w:pPr>
              <w:jc w:val="center"/>
            </w:pPr>
          </w:p>
        </w:tc>
        <w:tc>
          <w:tcPr>
            <w:tcW w:w="970" w:type="dxa"/>
          </w:tcPr>
          <w:p w14:paraId="3F008922" w14:textId="77777777" w:rsidR="004F78BD" w:rsidRDefault="004F78BD" w:rsidP="003230AD">
            <w:pPr>
              <w:jc w:val="center"/>
            </w:pPr>
          </w:p>
        </w:tc>
        <w:tc>
          <w:tcPr>
            <w:tcW w:w="988" w:type="dxa"/>
          </w:tcPr>
          <w:p w14:paraId="1299BED6" w14:textId="77777777" w:rsidR="004F78BD" w:rsidRPr="0042251D" w:rsidRDefault="004F78BD" w:rsidP="003230AD">
            <w:pPr>
              <w:jc w:val="center"/>
              <w:rPr>
                <w:sz w:val="48"/>
                <w:szCs w:val="48"/>
              </w:rPr>
            </w:pPr>
          </w:p>
        </w:tc>
        <w:tc>
          <w:tcPr>
            <w:tcW w:w="2424" w:type="dxa"/>
          </w:tcPr>
          <w:p w14:paraId="2F3AD748" w14:textId="77777777" w:rsidR="004F78BD" w:rsidRDefault="004F78BD" w:rsidP="003230AD"/>
        </w:tc>
      </w:tr>
      <w:tr w:rsidR="004F78BD" w14:paraId="7B158708" w14:textId="77777777" w:rsidTr="00720633">
        <w:tc>
          <w:tcPr>
            <w:tcW w:w="1256" w:type="dxa"/>
          </w:tcPr>
          <w:p w14:paraId="633D647D" w14:textId="7D8FFBB5" w:rsidR="004F78BD" w:rsidRPr="00D8158F" w:rsidRDefault="00E614A4" w:rsidP="006469F5">
            <w:pPr>
              <w:rPr>
                <w:rFonts w:cs="Arial"/>
                <w:b/>
                <w:bCs/>
                <w:color w:val="000000"/>
                <w:lang w:eastAsia="en-AU"/>
              </w:rPr>
            </w:pPr>
            <w:r w:rsidRPr="00E614A4">
              <w:rPr>
                <w:rFonts w:cs="Arial"/>
                <w:b/>
                <w:bCs/>
                <w:color w:val="000000"/>
                <w:lang w:eastAsia="en-AU"/>
              </w:rPr>
              <w:t>TOPIC #009/2024: (Accessibility Guideline for AA Australia)</w:t>
            </w:r>
          </w:p>
        </w:tc>
        <w:tc>
          <w:tcPr>
            <w:tcW w:w="6387" w:type="dxa"/>
          </w:tcPr>
          <w:p w14:paraId="081536D1" w14:textId="77777777" w:rsidR="00BB14F6" w:rsidRDefault="00BB14F6" w:rsidP="00BB14F6">
            <w:pPr>
              <w:pStyle w:val="Default"/>
              <w:rPr>
                <w:sz w:val="22"/>
                <w:szCs w:val="22"/>
              </w:rPr>
            </w:pPr>
            <w:r>
              <w:rPr>
                <w:sz w:val="22"/>
                <w:szCs w:val="22"/>
              </w:rPr>
              <w:t xml:space="preserve">Conference to create an accessibility guideline. </w:t>
            </w:r>
          </w:p>
          <w:p w14:paraId="5F7DCAF7" w14:textId="30E4A98C" w:rsidR="004F78BD" w:rsidRPr="004F4D63" w:rsidRDefault="00BB14F6" w:rsidP="00BB14F6">
            <w:pPr>
              <w:pStyle w:val="Header"/>
              <w:numPr>
                <w:ilvl w:val="0"/>
                <w:numId w:val="3"/>
              </w:numPr>
              <w:tabs>
                <w:tab w:val="clear" w:pos="4320"/>
                <w:tab w:val="clear" w:pos="8640"/>
              </w:tabs>
              <w:spacing w:after="0"/>
              <w:rPr>
                <w:rFonts w:cs="Arial"/>
                <w:b/>
              </w:rPr>
            </w:pPr>
            <w:r>
              <w:rPr>
                <w:szCs w:val="22"/>
              </w:rPr>
              <w:t>Conference to create or adapt from the US version, an Australian guideline for accessibility, to help inform AA Australia of this important aspect of carrying the message</w:t>
            </w:r>
          </w:p>
        </w:tc>
        <w:tc>
          <w:tcPr>
            <w:tcW w:w="841" w:type="dxa"/>
          </w:tcPr>
          <w:p w14:paraId="77E03D3E" w14:textId="77777777" w:rsidR="004F78BD" w:rsidRDefault="004F78BD" w:rsidP="003230AD">
            <w:pPr>
              <w:jc w:val="center"/>
            </w:pPr>
          </w:p>
        </w:tc>
        <w:tc>
          <w:tcPr>
            <w:tcW w:w="1082" w:type="dxa"/>
          </w:tcPr>
          <w:p w14:paraId="709A79B8" w14:textId="77777777" w:rsidR="004F78BD" w:rsidRDefault="004F78BD" w:rsidP="003230AD">
            <w:pPr>
              <w:jc w:val="center"/>
            </w:pPr>
          </w:p>
        </w:tc>
        <w:tc>
          <w:tcPr>
            <w:tcW w:w="970" w:type="dxa"/>
          </w:tcPr>
          <w:p w14:paraId="713C6DF8" w14:textId="77777777" w:rsidR="004F78BD" w:rsidRDefault="004F78BD" w:rsidP="003230AD">
            <w:pPr>
              <w:jc w:val="center"/>
            </w:pPr>
          </w:p>
        </w:tc>
        <w:tc>
          <w:tcPr>
            <w:tcW w:w="988" w:type="dxa"/>
          </w:tcPr>
          <w:p w14:paraId="3653B31D" w14:textId="77777777" w:rsidR="004F78BD" w:rsidRPr="0042251D" w:rsidRDefault="004F78BD" w:rsidP="003230AD">
            <w:pPr>
              <w:jc w:val="center"/>
              <w:rPr>
                <w:sz w:val="48"/>
                <w:szCs w:val="48"/>
              </w:rPr>
            </w:pPr>
          </w:p>
        </w:tc>
        <w:tc>
          <w:tcPr>
            <w:tcW w:w="2424" w:type="dxa"/>
          </w:tcPr>
          <w:p w14:paraId="440B284A" w14:textId="77777777" w:rsidR="004F78BD" w:rsidRDefault="004F78BD" w:rsidP="003230AD"/>
        </w:tc>
      </w:tr>
      <w:tr w:rsidR="004F78BD" w14:paraId="0BCF666E" w14:textId="77777777" w:rsidTr="00720633">
        <w:tc>
          <w:tcPr>
            <w:tcW w:w="1256" w:type="dxa"/>
          </w:tcPr>
          <w:p w14:paraId="4960EC52" w14:textId="146562AA" w:rsidR="004F78BD" w:rsidRPr="00D8158F" w:rsidRDefault="002A091F" w:rsidP="00BB14F6">
            <w:pPr>
              <w:rPr>
                <w:rFonts w:cs="Arial"/>
                <w:b/>
                <w:bCs/>
                <w:color w:val="000000"/>
                <w:lang w:eastAsia="en-AU"/>
              </w:rPr>
            </w:pPr>
            <w:r w:rsidRPr="002A091F">
              <w:rPr>
                <w:rFonts w:cs="Arial"/>
                <w:b/>
                <w:bCs/>
                <w:color w:val="000000"/>
                <w:lang w:eastAsia="en-AU"/>
              </w:rPr>
              <w:t>TOPIC #010/2024: (Add upside down triangle)</w:t>
            </w:r>
          </w:p>
        </w:tc>
        <w:tc>
          <w:tcPr>
            <w:tcW w:w="6387" w:type="dxa"/>
          </w:tcPr>
          <w:p w14:paraId="531983DF" w14:textId="0B840099" w:rsidR="008B650E" w:rsidRDefault="008B650E" w:rsidP="008B650E">
            <w:pPr>
              <w:pStyle w:val="Default"/>
              <w:rPr>
                <w:sz w:val="22"/>
                <w:szCs w:val="22"/>
              </w:rPr>
            </w:pPr>
            <w:r w:rsidRPr="008B650E">
              <w:rPr>
                <w:rFonts w:cs="Arial"/>
                <w:b/>
                <w:bCs/>
                <w:color w:val="201F1E"/>
              </w:rPr>
              <w:t>.</w:t>
            </w:r>
            <w:r>
              <w:t xml:space="preserve"> </w:t>
            </w:r>
            <w:r>
              <w:rPr>
                <w:sz w:val="22"/>
                <w:szCs w:val="22"/>
              </w:rPr>
              <w:t xml:space="preserve">Structure chart of the </w:t>
            </w:r>
            <w:proofErr w:type="gramStart"/>
            <w:r>
              <w:rPr>
                <w:sz w:val="22"/>
                <w:szCs w:val="22"/>
              </w:rPr>
              <w:t>upside down</w:t>
            </w:r>
            <w:proofErr w:type="gramEnd"/>
            <w:r>
              <w:rPr>
                <w:sz w:val="22"/>
                <w:szCs w:val="22"/>
              </w:rPr>
              <w:t xml:space="preserve"> triangle be put back in the Service manual with the Groups at top of chart followed by the Districts, Area Assemblies, Delegates at Conference and the GSB at the bottom to show that groups have complete Authority at Conference as written in Concept 1. </w:t>
            </w:r>
          </w:p>
          <w:p w14:paraId="6C556619" w14:textId="14E4DA94" w:rsidR="004F78BD" w:rsidRPr="004F4D63" w:rsidRDefault="008B650E" w:rsidP="008B650E">
            <w:pPr>
              <w:pStyle w:val="Header"/>
              <w:tabs>
                <w:tab w:val="clear" w:pos="4320"/>
              </w:tabs>
              <w:spacing w:after="0"/>
              <w:rPr>
                <w:rFonts w:cs="Arial"/>
                <w:b/>
                <w:bCs/>
                <w:color w:val="201F1E"/>
              </w:rPr>
            </w:pPr>
            <w:r>
              <w:rPr>
                <w:szCs w:val="22"/>
              </w:rPr>
              <w:t xml:space="preserve">Alcoholics are visual people and seeing the diagram of the </w:t>
            </w:r>
            <w:proofErr w:type="gramStart"/>
            <w:r>
              <w:rPr>
                <w:szCs w:val="22"/>
              </w:rPr>
              <w:t>upside down</w:t>
            </w:r>
            <w:proofErr w:type="gramEnd"/>
            <w:r>
              <w:rPr>
                <w:szCs w:val="22"/>
              </w:rPr>
              <w:t xml:space="preserve"> triangle can help our members see our structure much clearer and the path for topics and the Authority the groups have for Conference.</w:t>
            </w:r>
          </w:p>
        </w:tc>
        <w:tc>
          <w:tcPr>
            <w:tcW w:w="841" w:type="dxa"/>
          </w:tcPr>
          <w:p w14:paraId="233ACF9C" w14:textId="77777777" w:rsidR="004F78BD" w:rsidRDefault="004F78BD" w:rsidP="003230AD">
            <w:pPr>
              <w:jc w:val="center"/>
            </w:pPr>
          </w:p>
        </w:tc>
        <w:tc>
          <w:tcPr>
            <w:tcW w:w="1082" w:type="dxa"/>
          </w:tcPr>
          <w:p w14:paraId="223B5756" w14:textId="77777777" w:rsidR="004F78BD" w:rsidRDefault="004F78BD" w:rsidP="003230AD">
            <w:pPr>
              <w:jc w:val="center"/>
            </w:pPr>
          </w:p>
        </w:tc>
        <w:tc>
          <w:tcPr>
            <w:tcW w:w="970" w:type="dxa"/>
          </w:tcPr>
          <w:p w14:paraId="5992328A" w14:textId="77777777" w:rsidR="004F78BD" w:rsidRDefault="004F78BD" w:rsidP="003230AD">
            <w:pPr>
              <w:jc w:val="center"/>
            </w:pPr>
          </w:p>
        </w:tc>
        <w:tc>
          <w:tcPr>
            <w:tcW w:w="988" w:type="dxa"/>
          </w:tcPr>
          <w:p w14:paraId="58A9D018" w14:textId="77777777" w:rsidR="004F78BD" w:rsidRPr="0042251D" w:rsidRDefault="004F78BD" w:rsidP="003230AD">
            <w:pPr>
              <w:jc w:val="center"/>
              <w:rPr>
                <w:sz w:val="48"/>
                <w:szCs w:val="48"/>
              </w:rPr>
            </w:pPr>
          </w:p>
        </w:tc>
        <w:tc>
          <w:tcPr>
            <w:tcW w:w="2424" w:type="dxa"/>
          </w:tcPr>
          <w:p w14:paraId="05A0FB25" w14:textId="77777777" w:rsidR="004F78BD" w:rsidRDefault="004F78BD" w:rsidP="003230AD"/>
        </w:tc>
      </w:tr>
      <w:tr w:rsidR="004F78BD" w14:paraId="52ECEF84" w14:textId="77777777" w:rsidTr="00720633">
        <w:tc>
          <w:tcPr>
            <w:tcW w:w="1256" w:type="dxa"/>
          </w:tcPr>
          <w:p w14:paraId="45ABFC52" w14:textId="702E8491" w:rsidR="004F78BD" w:rsidRPr="00D8158F" w:rsidRDefault="00C858F7" w:rsidP="008B650E">
            <w:pPr>
              <w:ind w:right="-516"/>
              <w:jc w:val="both"/>
              <w:rPr>
                <w:rFonts w:cs="Arial"/>
                <w:b/>
                <w:bCs/>
                <w:color w:val="000000"/>
                <w:lang w:eastAsia="en-AU"/>
              </w:rPr>
            </w:pPr>
            <w:r w:rsidRPr="00C858F7">
              <w:rPr>
                <w:rFonts w:cs="Arial"/>
                <w:b/>
                <w:bCs/>
                <w:color w:val="000000"/>
                <w:lang w:eastAsia="en-AU"/>
              </w:rPr>
              <w:t>TOPIC #011/2024: (Accepted Literature)</w:t>
            </w:r>
          </w:p>
        </w:tc>
        <w:tc>
          <w:tcPr>
            <w:tcW w:w="6387" w:type="dxa"/>
          </w:tcPr>
          <w:p w14:paraId="591378A0" w14:textId="77777777" w:rsidR="00944404" w:rsidRDefault="00944404" w:rsidP="00944404">
            <w:pPr>
              <w:pStyle w:val="Default"/>
              <w:rPr>
                <w:sz w:val="22"/>
                <w:szCs w:val="22"/>
              </w:rPr>
            </w:pPr>
            <w:r>
              <w:rPr>
                <w:sz w:val="22"/>
                <w:szCs w:val="22"/>
              </w:rPr>
              <w:t xml:space="preserve">Having a new category of Conference ‘Accepted’ Literature. </w:t>
            </w:r>
          </w:p>
          <w:p w14:paraId="5B078031" w14:textId="77777777" w:rsidR="00944404" w:rsidRDefault="00944404" w:rsidP="00944404">
            <w:pPr>
              <w:pStyle w:val="Default"/>
              <w:rPr>
                <w:sz w:val="22"/>
                <w:szCs w:val="22"/>
              </w:rPr>
            </w:pPr>
            <w:r>
              <w:rPr>
                <w:sz w:val="22"/>
                <w:szCs w:val="22"/>
              </w:rPr>
              <w:t xml:space="preserve">Conference to consider a new category of literature to stand beside </w:t>
            </w:r>
            <w:r>
              <w:rPr>
                <w:i/>
                <w:iCs/>
                <w:sz w:val="22"/>
                <w:szCs w:val="22"/>
              </w:rPr>
              <w:t xml:space="preserve">Conference Approved </w:t>
            </w:r>
            <w:r>
              <w:rPr>
                <w:sz w:val="22"/>
                <w:szCs w:val="22"/>
              </w:rPr>
              <w:t xml:space="preserve">literature. A category that indicates literature has been assessed by a conference committee and accepted or designated as “official’. </w:t>
            </w:r>
          </w:p>
          <w:p w14:paraId="49CDD17C" w14:textId="77777777" w:rsidR="00944404" w:rsidRDefault="00944404" w:rsidP="00944404">
            <w:pPr>
              <w:pStyle w:val="Default"/>
              <w:rPr>
                <w:sz w:val="22"/>
                <w:szCs w:val="22"/>
              </w:rPr>
            </w:pPr>
            <w:r>
              <w:rPr>
                <w:sz w:val="22"/>
                <w:szCs w:val="22"/>
              </w:rPr>
              <w:t xml:space="preserve">We need the ability to endorse or accept literature (posters, PI, cards etc.) for national use and circulation without everything needing to go to conference and take a year. </w:t>
            </w:r>
          </w:p>
          <w:p w14:paraId="5DF277A7" w14:textId="77EA5B49" w:rsidR="004F78BD" w:rsidRPr="004F4D63" w:rsidRDefault="00944404" w:rsidP="00944404">
            <w:pPr>
              <w:ind w:right="-516"/>
              <w:jc w:val="both"/>
              <w:rPr>
                <w:rFonts w:ascii="Arial" w:hAnsi="Arial" w:cs="Arial"/>
                <w:b/>
              </w:rPr>
            </w:pPr>
            <w:r>
              <w:lastRenderedPageBreak/>
              <w:t>A Conference Committee could be given the authority to effectively sign off on submitted materials ensuring they meet guidelines, traditions etc. and allow them to be shared nationally with AA backing on the members website or GSO website.</w:t>
            </w:r>
          </w:p>
        </w:tc>
        <w:tc>
          <w:tcPr>
            <w:tcW w:w="841" w:type="dxa"/>
          </w:tcPr>
          <w:p w14:paraId="39E528FF" w14:textId="77777777" w:rsidR="004F78BD" w:rsidRDefault="004F78BD" w:rsidP="003230AD">
            <w:pPr>
              <w:jc w:val="center"/>
            </w:pPr>
          </w:p>
        </w:tc>
        <w:tc>
          <w:tcPr>
            <w:tcW w:w="1082" w:type="dxa"/>
          </w:tcPr>
          <w:p w14:paraId="2762849F" w14:textId="77777777" w:rsidR="004F78BD" w:rsidRDefault="004F78BD" w:rsidP="003230AD">
            <w:pPr>
              <w:jc w:val="center"/>
            </w:pPr>
          </w:p>
        </w:tc>
        <w:tc>
          <w:tcPr>
            <w:tcW w:w="970" w:type="dxa"/>
          </w:tcPr>
          <w:p w14:paraId="09869444" w14:textId="77777777" w:rsidR="004F78BD" w:rsidRDefault="004F78BD" w:rsidP="003230AD">
            <w:pPr>
              <w:jc w:val="center"/>
            </w:pPr>
          </w:p>
        </w:tc>
        <w:tc>
          <w:tcPr>
            <w:tcW w:w="988" w:type="dxa"/>
          </w:tcPr>
          <w:p w14:paraId="0AF2B9A4" w14:textId="77777777" w:rsidR="004F78BD" w:rsidRPr="0042251D" w:rsidRDefault="004F78BD" w:rsidP="003230AD">
            <w:pPr>
              <w:jc w:val="center"/>
              <w:rPr>
                <w:sz w:val="48"/>
                <w:szCs w:val="48"/>
              </w:rPr>
            </w:pPr>
          </w:p>
        </w:tc>
        <w:tc>
          <w:tcPr>
            <w:tcW w:w="2424" w:type="dxa"/>
          </w:tcPr>
          <w:p w14:paraId="1CC88041" w14:textId="77777777" w:rsidR="004F78BD" w:rsidRDefault="004F78BD" w:rsidP="003230AD"/>
        </w:tc>
      </w:tr>
      <w:tr w:rsidR="004F78BD" w14:paraId="38C447EB" w14:textId="77777777" w:rsidTr="00720633">
        <w:tc>
          <w:tcPr>
            <w:tcW w:w="1256" w:type="dxa"/>
          </w:tcPr>
          <w:p w14:paraId="273E233B" w14:textId="4E3468B2" w:rsidR="004F78BD" w:rsidRPr="00D8158F" w:rsidRDefault="000F7A91" w:rsidP="00944404">
            <w:pPr>
              <w:rPr>
                <w:rFonts w:cs="Arial"/>
                <w:b/>
                <w:bCs/>
                <w:color w:val="000000"/>
                <w:lang w:eastAsia="en-AU"/>
              </w:rPr>
            </w:pPr>
            <w:r w:rsidRPr="000F7A91">
              <w:rPr>
                <w:rFonts w:cs="Arial"/>
                <w:b/>
                <w:bCs/>
                <w:color w:val="000000"/>
                <w:lang w:eastAsia="en-AU"/>
              </w:rPr>
              <w:t>TOPIC #012/2024: (Online Meeting Guideline)</w:t>
            </w:r>
          </w:p>
        </w:tc>
        <w:tc>
          <w:tcPr>
            <w:tcW w:w="6387" w:type="dxa"/>
          </w:tcPr>
          <w:p w14:paraId="1E5239B8" w14:textId="77777777" w:rsidR="00D55F90" w:rsidRDefault="00D55F90" w:rsidP="00D55F90">
            <w:pPr>
              <w:pStyle w:val="Default"/>
              <w:rPr>
                <w:sz w:val="22"/>
                <w:szCs w:val="22"/>
              </w:rPr>
            </w:pPr>
            <w:r>
              <w:rPr>
                <w:sz w:val="22"/>
                <w:szCs w:val="22"/>
              </w:rPr>
              <w:t xml:space="preserve">Supporting the growth and effectiveness of the Australian AA Fellowship through authentic online meetings listings. </w:t>
            </w:r>
          </w:p>
          <w:p w14:paraId="537D129F" w14:textId="77777777" w:rsidR="00D55F90" w:rsidRDefault="00D55F90" w:rsidP="00D55F90">
            <w:pPr>
              <w:pStyle w:val="Default"/>
              <w:rPr>
                <w:sz w:val="22"/>
                <w:szCs w:val="22"/>
              </w:rPr>
            </w:pPr>
            <w:r>
              <w:rPr>
                <w:sz w:val="22"/>
                <w:szCs w:val="22"/>
              </w:rPr>
              <w:t xml:space="preserve">The Board to refine the criteria for listing online meetings on the national website to ensure it fulfills its intended purpose of supporting the growth and effectiveness of the Australian AA fellowship. </w:t>
            </w:r>
          </w:p>
          <w:p w14:paraId="0040423F" w14:textId="77777777" w:rsidR="00D55F90" w:rsidRDefault="00D55F90" w:rsidP="00D55F90">
            <w:pPr>
              <w:pStyle w:val="Default"/>
              <w:rPr>
                <w:sz w:val="22"/>
                <w:szCs w:val="22"/>
              </w:rPr>
            </w:pPr>
            <w:r>
              <w:rPr>
                <w:sz w:val="22"/>
                <w:szCs w:val="22"/>
              </w:rPr>
              <w:t xml:space="preserve">The issue is that alcoholics use meetings.aa.org.au to find Australian meetings, both in-person and online. However, the national website includes international and overseas online meetings. </w:t>
            </w:r>
          </w:p>
          <w:p w14:paraId="3C3A0E41" w14:textId="77777777" w:rsidR="00D55F90" w:rsidRDefault="00D55F90" w:rsidP="00D55F90">
            <w:pPr>
              <w:pStyle w:val="Default"/>
              <w:rPr>
                <w:sz w:val="22"/>
                <w:szCs w:val="22"/>
              </w:rPr>
            </w:pPr>
            <w:r>
              <w:rPr>
                <w:sz w:val="22"/>
                <w:szCs w:val="22"/>
              </w:rPr>
              <w:t xml:space="preserve">These international meetings reduce the incentive to create Australian meetings, as they compete for attendees, listing times, and often request 7th Tradition contributions from Australian members, diverting resources away from local services. </w:t>
            </w:r>
          </w:p>
          <w:p w14:paraId="68028E43" w14:textId="1A41A344" w:rsidR="004F78BD" w:rsidRPr="004F4D63" w:rsidRDefault="00D55F90" w:rsidP="00D55F90">
            <w:pPr>
              <w:rPr>
                <w:rFonts w:ascii="Arial" w:hAnsi="Arial" w:cs="Arial"/>
                <w:b/>
              </w:rPr>
            </w:pPr>
            <w:r>
              <w:t>The idea is to establish a workable, clear and objective criteria for listing online meetings, to ensure that meetings on the national website are genuinely part of the Australian fellowship. This will support the growth and effectiveness of the Australian AA community to help alcoholics get sober and stay sober.</w:t>
            </w:r>
          </w:p>
        </w:tc>
        <w:tc>
          <w:tcPr>
            <w:tcW w:w="841" w:type="dxa"/>
          </w:tcPr>
          <w:p w14:paraId="45188053" w14:textId="77777777" w:rsidR="004F78BD" w:rsidRDefault="004F78BD" w:rsidP="003230AD">
            <w:pPr>
              <w:jc w:val="center"/>
            </w:pPr>
          </w:p>
        </w:tc>
        <w:tc>
          <w:tcPr>
            <w:tcW w:w="1082" w:type="dxa"/>
          </w:tcPr>
          <w:p w14:paraId="57FFBDC7" w14:textId="77777777" w:rsidR="004F78BD" w:rsidRDefault="004F78BD" w:rsidP="003230AD">
            <w:pPr>
              <w:jc w:val="center"/>
            </w:pPr>
          </w:p>
        </w:tc>
        <w:tc>
          <w:tcPr>
            <w:tcW w:w="970" w:type="dxa"/>
          </w:tcPr>
          <w:p w14:paraId="09205C07" w14:textId="77777777" w:rsidR="004F78BD" w:rsidRDefault="004F78BD" w:rsidP="003230AD">
            <w:pPr>
              <w:jc w:val="center"/>
            </w:pPr>
          </w:p>
        </w:tc>
        <w:tc>
          <w:tcPr>
            <w:tcW w:w="988" w:type="dxa"/>
          </w:tcPr>
          <w:p w14:paraId="39773F20" w14:textId="77777777" w:rsidR="004F78BD" w:rsidRPr="0042251D" w:rsidRDefault="004F78BD" w:rsidP="003230AD">
            <w:pPr>
              <w:jc w:val="center"/>
              <w:rPr>
                <w:sz w:val="48"/>
                <w:szCs w:val="48"/>
              </w:rPr>
            </w:pPr>
          </w:p>
        </w:tc>
        <w:tc>
          <w:tcPr>
            <w:tcW w:w="2424" w:type="dxa"/>
          </w:tcPr>
          <w:p w14:paraId="2EBD8C83" w14:textId="77777777" w:rsidR="004F78BD" w:rsidRDefault="004F78BD" w:rsidP="003230AD"/>
        </w:tc>
      </w:tr>
      <w:tr w:rsidR="004F78BD" w14:paraId="5EBAEBDE" w14:textId="77777777" w:rsidTr="00720633">
        <w:tc>
          <w:tcPr>
            <w:tcW w:w="1256" w:type="dxa"/>
          </w:tcPr>
          <w:p w14:paraId="12ABC8E0" w14:textId="2192F237" w:rsidR="004F78BD" w:rsidRPr="00D8158F" w:rsidRDefault="009923B6" w:rsidP="00D55F90">
            <w:pPr>
              <w:rPr>
                <w:rFonts w:cs="Arial"/>
                <w:b/>
                <w:bCs/>
                <w:color w:val="000000"/>
                <w:lang w:eastAsia="en-AU"/>
              </w:rPr>
            </w:pPr>
            <w:r w:rsidRPr="009923B6">
              <w:rPr>
                <w:rFonts w:cs="Arial"/>
                <w:b/>
                <w:bCs/>
                <w:color w:val="000000"/>
                <w:lang w:eastAsia="en-AU"/>
              </w:rPr>
              <w:t xml:space="preserve">TOPIC #013/2024: (Ratio of Delegate to non-delegate </w:t>
            </w:r>
            <w:r w:rsidRPr="009923B6">
              <w:rPr>
                <w:rFonts w:cs="Arial"/>
                <w:b/>
                <w:bCs/>
                <w:color w:val="000000"/>
                <w:lang w:eastAsia="en-AU"/>
              </w:rPr>
              <w:lastRenderedPageBreak/>
              <w:t>Conference Members</w:t>
            </w:r>
          </w:p>
        </w:tc>
        <w:tc>
          <w:tcPr>
            <w:tcW w:w="6387" w:type="dxa"/>
          </w:tcPr>
          <w:p w14:paraId="148E0F67" w14:textId="77777777" w:rsidR="009C4FDD" w:rsidRDefault="009C4FDD" w:rsidP="009C4FDD">
            <w:pPr>
              <w:pStyle w:val="Default"/>
              <w:rPr>
                <w:sz w:val="22"/>
                <w:szCs w:val="22"/>
              </w:rPr>
            </w:pPr>
            <w:r>
              <w:rPr>
                <w:sz w:val="22"/>
                <w:szCs w:val="22"/>
              </w:rPr>
              <w:lastRenderedPageBreak/>
              <w:t xml:space="preserve">The General Service Board recommends revising the wording in our service manual and all other relevant service documents to align with our founders' original intent. </w:t>
            </w:r>
          </w:p>
          <w:p w14:paraId="638C3916" w14:textId="28F1A94D" w:rsidR="004F78BD" w:rsidRPr="004F4D63" w:rsidRDefault="009C4FDD" w:rsidP="009C4FDD">
            <w:pPr>
              <w:pStyle w:val="Header"/>
              <w:tabs>
                <w:tab w:val="clear" w:pos="4320"/>
              </w:tabs>
              <w:spacing w:after="0"/>
              <w:ind w:left="720"/>
              <w:rPr>
                <w:rFonts w:cs="Arial"/>
                <w:b/>
                <w:bCs/>
              </w:rPr>
            </w:pPr>
            <w:r>
              <w:rPr>
                <w:szCs w:val="22"/>
              </w:rPr>
              <w:t xml:space="preserve">The Board recommends that we make amendments to our Service Manual and other relevant service documents, including to the first paragraph under the heading “Who Conference Members Are” by replacing </w:t>
            </w:r>
            <w:r>
              <w:rPr>
                <w:szCs w:val="22"/>
              </w:rPr>
              <w:lastRenderedPageBreak/>
              <w:t>the words “more than two thirds” with “at least two thirds”. This would bring it into alignment with the original wording in the source documents written by our founders.</w:t>
            </w:r>
          </w:p>
        </w:tc>
        <w:tc>
          <w:tcPr>
            <w:tcW w:w="841" w:type="dxa"/>
          </w:tcPr>
          <w:p w14:paraId="1576EE51" w14:textId="77777777" w:rsidR="004F78BD" w:rsidRDefault="004F78BD" w:rsidP="003230AD">
            <w:pPr>
              <w:jc w:val="center"/>
            </w:pPr>
          </w:p>
        </w:tc>
        <w:tc>
          <w:tcPr>
            <w:tcW w:w="1082" w:type="dxa"/>
          </w:tcPr>
          <w:p w14:paraId="0EA14D6E" w14:textId="77777777" w:rsidR="004F78BD" w:rsidRDefault="004F78BD" w:rsidP="003230AD">
            <w:pPr>
              <w:jc w:val="center"/>
            </w:pPr>
          </w:p>
        </w:tc>
        <w:tc>
          <w:tcPr>
            <w:tcW w:w="970" w:type="dxa"/>
          </w:tcPr>
          <w:p w14:paraId="5D242AAF" w14:textId="77777777" w:rsidR="004F78BD" w:rsidRDefault="004F78BD" w:rsidP="003230AD">
            <w:pPr>
              <w:jc w:val="center"/>
            </w:pPr>
          </w:p>
        </w:tc>
        <w:tc>
          <w:tcPr>
            <w:tcW w:w="988" w:type="dxa"/>
          </w:tcPr>
          <w:p w14:paraId="4F865E7B" w14:textId="77777777" w:rsidR="004F78BD" w:rsidRPr="0042251D" w:rsidRDefault="004F78BD" w:rsidP="003230AD">
            <w:pPr>
              <w:jc w:val="center"/>
              <w:rPr>
                <w:sz w:val="48"/>
                <w:szCs w:val="48"/>
              </w:rPr>
            </w:pPr>
          </w:p>
        </w:tc>
        <w:tc>
          <w:tcPr>
            <w:tcW w:w="2424" w:type="dxa"/>
          </w:tcPr>
          <w:p w14:paraId="70E36587" w14:textId="77777777" w:rsidR="004F78BD" w:rsidRDefault="004F78BD" w:rsidP="003230AD"/>
        </w:tc>
      </w:tr>
      <w:tr w:rsidR="004F78BD" w14:paraId="460CE4A8" w14:textId="77777777" w:rsidTr="00720633">
        <w:tc>
          <w:tcPr>
            <w:tcW w:w="1256" w:type="dxa"/>
          </w:tcPr>
          <w:p w14:paraId="0DA93BA1" w14:textId="65122632" w:rsidR="004F78BD" w:rsidRDefault="005B7C20" w:rsidP="009C4FDD">
            <w:r w:rsidRPr="005B7C20">
              <w:rPr>
                <w:b/>
                <w:bCs/>
              </w:rPr>
              <w:t>TOPIC #014/2024: (Trim the numbers of Trustees on the Board</w:t>
            </w:r>
            <w:r w:rsidRPr="005B7C20">
              <w:t>)</w:t>
            </w:r>
          </w:p>
        </w:tc>
        <w:tc>
          <w:tcPr>
            <w:tcW w:w="6387" w:type="dxa"/>
          </w:tcPr>
          <w:p w14:paraId="55E5E775" w14:textId="77777777" w:rsidR="00713F5F" w:rsidRDefault="00713F5F" w:rsidP="00713F5F">
            <w:pPr>
              <w:pStyle w:val="Default"/>
              <w:rPr>
                <w:sz w:val="22"/>
                <w:szCs w:val="22"/>
              </w:rPr>
            </w:pPr>
            <w:r>
              <w:rPr>
                <w:sz w:val="22"/>
                <w:szCs w:val="22"/>
              </w:rPr>
              <w:t xml:space="preserve">The Conference and the Board should </w:t>
            </w:r>
            <w:proofErr w:type="gramStart"/>
            <w:r>
              <w:rPr>
                <w:sz w:val="22"/>
                <w:szCs w:val="22"/>
              </w:rPr>
              <w:t>look into</w:t>
            </w:r>
            <w:proofErr w:type="gramEnd"/>
            <w:r>
              <w:rPr>
                <w:sz w:val="22"/>
                <w:szCs w:val="22"/>
              </w:rPr>
              <w:t xml:space="preserve"> sticking to Article 18 of Articles of Association of GSB, returning the General Service Trustee Role back to what is its main function – being responsible to the Board for running the GSO from a business point of view and that’s it. AA recovery work and carrying the message issues work on behalf of the fellowship can then be done by trustees the membership selects to do them. </w:t>
            </w:r>
          </w:p>
          <w:p w14:paraId="6FED635F" w14:textId="77777777" w:rsidR="00713F5F" w:rsidRDefault="00713F5F" w:rsidP="00713F5F">
            <w:pPr>
              <w:pStyle w:val="Default"/>
              <w:rPr>
                <w:sz w:val="22"/>
                <w:szCs w:val="22"/>
              </w:rPr>
            </w:pPr>
            <w:r>
              <w:rPr>
                <w:sz w:val="22"/>
                <w:szCs w:val="22"/>
              </w:rPr>
              <w:t xml:space="preserve">Return management group and the GSTs to the status of sub-committee reporting to the Board. </w:t>
            </w:r>
          </w:p>
          <w:p w14:paraId="010A149F" w14:textId="77777777" w:rsidR="00713F5F" w:rsidRDefault="00713F5F" w:rsidP="00713F5F">
            <w:pPr>
              <w:pStyle w:val="Default"/>
              <w:rPr>
                <w:sz w:val="22"/>
                <w:szCs w:val="22"/>
              </w:rPr>
            </w:pPr>
            <w:r>
              <w:rPr>
                <w:sz w:val="22"/>
                <w:szCs w:val="22"/>
              </w:rPr>
              <w:t xml:space="preserve">GSTs no longer on the Board as full members. </w:t>
            </w:r>
          </w:p>
          <w:p w14:paraId="7AC5DAD2" w14:textId="77777777" w:rsidR="00713F5F" w:rsidRDefault="00713F5F" w:rsidP="00713F5F">
            <w:pPr>
              <w:pStyle w:val="Default"/>
              <w:rPr>
                <w:sz w:val="22"/>
                <w:szCs w:val="22"/>
              </w:rPr>
            </w:pPr>
            <w:r>
              <w:rPr>
                <w:sz w:val="22"/>
                <w:szCs w:val="22"/>
              </w:rPr>
              <w:t xml:space="preserve">GSTs no longer vote at conference. </w:t>
            </w:r>
          </w:p>
          <w:p w14:paraId="136899F0" w14:textId="77777777" w:rsidR="00713F5F" w:rsidRDefault="00713F5F" w:rsidP="00713F5F">
            <w:pPr>
              <w:pStyle w:val="Default"/>
              <w:rPr>
                <w:sz w:val="22"/>
                <w:szCs w:val="22"/>
              </w:rPr>
            </w:pPr>
            <w:r>
              <w:rPr>
                <w:sz w:val="22"/>
                <w:szCs w:val="22"/>
              </w:rPr>
              <w:t xml:space="preserve">GSTs are self-nominating and not selected by the members like Regional Trustees are, they are supposed to be dedicated to this one job, and no more. </w:t>
            </w:r>
          </w:p>
          <w:p w14:paraId="2EE63D91" w14:textId="77777777" w:rsidR="00713F5F" w:rsidRDefault="00713F5F" w:rsidP="00713F5F">
            <w:pPr>
              <w:pStyle w:val="Default"/>
              <w:rPr>
                <w:sz w:val="22"/>
                <w:szCs w:val="22"/>
              </w:rPr>
            </w:pPr>
            <w:r>
              <w:rPr>
                <w:sz w:val="22"/>
                <w:szCs w:val="22"/>
              </w:rPr>
              <w:t xml:space="preserve">Because they </w:t>
            </w:r>
            <w:proofErr w:type="gramStart"/>
            <w:r>
              <w:rPr>
                <w:sz w:val="22"/>
                <w:szCs w:val="22"/>
              </w:rPr>
              <w:t>have to</w:t>
            </w:r>
            <w:proofErr w:type="gramEnd"/>
            <w:r>
              <w:rPr>
                <w:sz w:val="22"/>
                <w:szCs w:val="22"/>
              </w:rPr>
              <w:t xml:space="preserve"> be in Sydney allowing GSTs full Board memberships gives Eastern Region, Sydney over proportion of representation at Board level and conference. </w:t>
            </w:r>
          </w:p>
          <w:p w14:paraId="51D4B20D" w14:textId="77777777" w:rsidR="00713F5F" w:rsidRDefault="00713F5F" w:rsidP="00713F5F">
            <w:pPr>
              <w:pStyle w:val="Default"/>
              <w:rPr>
                <w:sz w:val="22"/>
                <w:szCs w:val="22"/>
              </w:rPr>
            </w:pPr>
            <w:r>
              <w:rPr>
                <w:sz w:val="22"/>
                <w:szCs w:val="22"/>
              </w:rPr>
              <w:t xml:space="preserve">Reducing this concentration of authority will be more equitable across the country and encourage people elsewhere to join services and not be run by Sydney. </w:t>
            </w:r>
          </w:p>
          <w:p w14:paraId="67BF7669" w14:textId="77777777" w:rsidR="00713F5F" w:rsidRDefault="00713F5F" w:rsidP="00713F5F">
            <w:pPr>
              <w:pStyle w:val="Default"/>
              <w:rPr>
                <w:sz w:val="22"/>
                <w:szCs w:val="22"/>
              </w:rPr>
            </w:pPr>
            <w:r>
              <w:rPr>
                <w:sz w:val="22"/>
                <w:szCs w:val="22"/>
              </w:rPr>
              <w:t xml:space="preserve">Give people in other regions an equal chance to serve as trustee, not give Sydney a 3 times greater chance. </w:t>
            </w:r>
          </w:p>
          <w:p w14:paraId="30615399" w14:textId="372E843E" w:rsidR="004F78BD" w:rsidRPr="00EA02B7" w:rsidRDefault="00713F5F" w:rsidP="00713F5F">
            <w:pPr>
              <w:rPr>
                <w:rFonts w:cstheme="minorHAnsi"/>
              </w:rPr>
            </w:pPr>
            <w:r>
              <w:t>Reduce the numbers of Board members to delegates at conference.</w:t>
            </w:r>
          </w:p>
        </w:tc>
        <w:tc>
          <w:tcPr>
            <w:tcW w:w="841" w:type="dxa"/>
          </w:tcPr>
          <w:p w14:paraId="20D0F2B2" w14:textId="77777777" w:rsidR="004F78BD" w:rsidRDefault="004F78BD" w:rsidP="003230AD">
            <w:pPr>
              <w:jc w:val="center"/>
            </w:pPr>
          </w:p>
        </w:tc>
        <w:tc>
          <w:tcPr>
            <w:tcW w:w="1082" w:type="dxa"/>
          </w:tcPr>
          <w:p w14:paraId="0AFB4F8A" w14:textId="77777777" w:rsidR="004F78BD" w:rsidRDefault="004F78BD" w:rsidP="003230AD">
            <w:pPr>
              <w:jc w:val="center"/>
            </w:pPr>
          </w:p>
        </w:tc>
        <w:tc>
          <w:tcPr>
            <w:tcW w:w="970" w:type="dxa"/>
          </w:tcPr>
          <w:p w14:paraId="66270F70" w14:textId="77777777" w:rsidR="004F78BD" w:rsidRDefault="004F78BD" w:rsidP="003230AD">
            <w:pPr>
              <w:jc w:val="center"/>
            </w:pPr>
          </w:p>
        </w:tc>
        <w:tc>
          <w:tcPr>
            <w:tcW w:w="988" w:type="dxa"/>
          </w:tcPr>
          <w:p w14:paraId="03881F45" w14:textId="77777777" w:rsidR="004F78BD" w:rsidRPr="0042251D" w:rsidRDefault="004F78BD" w:rsidP="003230AD">
            <w:pPr>
              <w:jc w:val="center"/>
              <w:rPr>
                <w:sz w:val="48"/>
                <w:szCs w:val="48"/>
              </w:rPr>
            </w:pPr>
          </w:p>
        </w:tc>
        <w:tc>
          <w:tcPr>
            <w:tcW w:w="2424" w:type="dxa"/>
          </w:tcPr>
          <w:p w14:paraId="18245CE8" w14:textId="77777777" w:rsidR="004F78BD" w:rsidRDefault="004F78BD" w:rsidP="003230AD"/>
        </w:tc>
      </w:tr>
      <w:tr w:rsidR="004F78BD" w14:paraId="61A999F0" w14:textId="77777777" w:rsidTr="00720633">
        <w:tc>
          <w:tcPr>
            <w:tcW w:w="1256" w:type="dxa"/>
          </w:tcPr>
          <w:p w14:paraId="3D2490E2" w14:textId="67B9E846" w:rsidR="004F78BD" w:rsidRPr="00D8158F" w:rsidRDefault="00D8787D" w:rsidP="00872076">
            <w:pPr>
              <w:autoSpaceDE w:val="0"/>
              <w:rPr>
                <w:rFonts w:cs="Arial"/>
                <w:b/>
                <w:bCs/>
                <w:color w:val="000000"/>
                <w:lang w:eastAsia="en-AU"/>
              </w:rPr>
            </w:pPr>
            <w:r w:rsidRPr="00D8787D">
              <w:rPr>
                <w:rFonts w:cs="Arial"/>
                <w:b/>
                <w:bCs/>
                <w:color w:val="000000"/>
                <w:lang w:eastAsia="en-AU"/>
              </w:rPr>
              <w:lastRenderedPageBreak/>
              <w:t>Topic #015/2024: (Alcoholics Anonymous Australia, one united Structure)</w:t>
            </w:r>
          </w:p>
        </w:tc>
        <w:tc>
          <w:tcPr>
            <w:tcW w:w="6387" w:type="dxa"/>
          </w:tcPr>
          <w:p w14:paraId="698D4D89" w14:textId="77777777" w:rsidR="007E4623" w:rsidRDefault="007E4623" w:rsidP="007E4623">
            <w:pPr>
              <w:pStyle w:val="Default"/>
              <w:rPr>
                <w:sz w:val="22"/>
                <w:szCs w:val="22"/>
              </w:rPr>
            </w:pPr>
            <w:r>
              <w:rPr>
                <w:sz w:val="22"/>
                <w:szCs w:val="22"/>
              </w:rPr>
              <w:t xml:space="preserve">The Conference task a Working Group to ascertain the need, relevance and support for uniting the Two Service Structures of Alcoholics Anonymous into one Structure. </w:t>
            </w:r>
          </w:p>
          <w:p w14:paraId="6CE474C2" w14:textId="77777777" w:rsidR="007E4623" w:rsidRDefault="007E4623" w:rsidP="007E4623">
            <w:pPr>
              <w:pStyle w:val="Default"/>
              <w:rPr>
                <w:sz w:val="22"/>
                <w:szCs w:val="22"/>
              </w:rPr>
            </w:pPr>
            <w:r>
              <w:rPr>
                <w:sz w:val="22"/>
                <w:szCs w:val="22"/>
              </w:rPr>
              <w:t xml:space="preserve">The Working Group is a starting point to investigate the need, relevance and support of the idea of joining the current two service structures, CSO Structure, and General Service Structure as one united Alcoholics Anonymous, Australia Service Structure. </w:t>
            </w:r>
          </w:p>
          <w:p w14:paraId="13601736" w14:textId="77777777" w:rsidR="007E4623" w:rsidRDefault="007E4623" w:rsidP="007E4623">
            <w:pPr>
              <w:pStyle w:val="Default"/>
              <w:rPr>
                <w:sz w:val="22"/>
                <w:szCs w:val="22"/>
              </w:rPr>
            </w:pPr>
            <w:r>
              <w:rPr>
                <w:sz w:val="22"/>
                <w:szCs w:val="22"/>
              </w:rPr>
              <w:t xml:space="preserve">The Working Group would encourage participation of members of both Structures. </w:t>
            </w:r>
          </w:p>
          <w:p w14:paraId="68673946" w14:textId="77777777" w:rsidR="007E4623" w:rsidRDefault="007E4623" w:rsidP="007E4623">
            <w:pPr>
              <w:pStyle w:val="Default"/>
              <w:rPr>
                <w:sz w:val="22"/>
                <w:szCs w:val="22"/>
              </w:rPr>
            </w:pPr>
            <w:r>
              <w:rPr>
                <w:sz w:val="22"/>
                <w:szCs w:val="22"/>
              </w:rPr>
              <w:t xml:space="preserve">In the Spirit of Cooperation, engagement and consultation with CSO Committees, employees and Service members, similarly with all members of the General Service Structure and the greater Fellowship would be a given. </w:t>
            </w:r>
          </w:p>
          <w:p w14:paraId="5B0D1748" w14:textId="77777777" w:rsidR="007E4623" w:rsidRDefault="007E4623" w:rsidP="007E4623">
            <w:pPr>
              <w:pStyle w:val="Default"/>
              <w:rPr>
                <w:sz w:val="22"/>
                <w:szCs w:val="22"/>
              </w:rPr>
            </w:pPr>
            <w:r>
              <w:rPr>
                <w:sz w:val="22"/>
                <w:szCs w:val="22"/>
              </w:rPr>
              <w:t xml:space="preserve">Based on the findings of the Working Group, a Report reflecting a Negative result to be presented to Conference 2025. </w:t>
            </w:r>
          </w:p>
          <w:p w14:paraId="204311BB" w14:textId="77777777" w:rsidR="007E4623" w:rsidRDefault="007E4623" w:rsidP="007E4623">
            <w:pPr>
              <w:pStyle w:val="Default"/>
              <w:rPr>
                <w:sz w:val="22"/>
                <w:szCs w:val="22"/>
              </w:rPr>
            </w:pPr>
            <w:r>
              <w:rPr>
                <w:sz w:val="22"/>
                <w:szCs w:val="22"/>
              </w:rPr>
              <w:t xml:space="preserve">Should there be sufficient relevance, need and support, a report should be tabled at Conference 2025 outlining the proposed next steps with the idea of presenting a Topic to Conference 2026. </w:t>
            </w:r>
          </w:p>
          <w:p w14:paraId="07D083E8" w14:textId="480BEDFA" w:rsidR="004F78BD" w:rsidRDefault="007E4623" w:rsidP="007E4623">
            <w:pPr>
              <w:rPr>
                <w:rFonts w:ascii="Arial" w:eastAsia="Arial-BoldMT" w:hAnsi="Arial" w:cs="Arial"/>
                <w:b/>
                <w:bCs/>
              </w:rPr>
            </w:pPr>
            <w:r>
              <w:t>The outline of that Topic to be distributed to all parties for further discussion and ratification</w:t>
            </w:r>
          </w:p>
          <w:p w14:paraId="117AD461" w14:textId="77777777" w:rsidR="00C52AB8" w:rsidRPr="004F4D63" w:rsidRDefault="00C52AB8" w:rsidP="002D2740">
            <w:pPr>
              <w:rPr>
                <w:rFonts w:ascii="Arial" w:hAnsi="Arial" w:cs="Arial"/>
                <w:b/>
              </w:rPr>
            </w:pPr>
          </w:p>
        </w:tc>
        <w:tc>
          <w:tcPr>
            <w:tcW w:w="841" w:type="dxa"/>
          </w:tcPr>
          <w:p w14:paraId="30323840" w14:textId="77777777" w:rsidR="004F78BD" w:rsidRDefault="004F78BD" w:rsidP="003230AD">
            <w:pPr>
              <w:jc w:val="center"/>
            </w:pPr>
          </w:p>
        </w:tc>
        <w:tc>
          <w:tcPr>
            <w:tcW w:w="1082" w:type="dxa"/>
          </w:tcPr>
          <w:p w14:paraId="11A4ACC5" w14:textId="77777777" w:rsidR="004F78BD" w:rsidRDefault="004F78BD" w:rsidP="003230AD">
            <w:pPr>
              <w:jc w:val="center"/>
            </w:pPr>
          </w:p>
        </w:tc>
        <w:tc>
          <w:tcPr>
            <w:tcW w:w="970" w:type="dxa"/>
          </w:tcPr>
          <w:p w14:paraId="7584B9E9" w14:textId="77777777" w:rsidR="004F78BD" w:rsidRDefault="004F78BD" w:rsidP="003230AD">
            <w:pPr>
              <w:jc w:val="center"/>
            </w:pPr>
          </w:p>
        </w:tc>
        <w:tc>
          <w:tcPr>
            <w:tcW w:w="988" w:type="dxa"/>
          </w:tcPr>
          <w:p w14:paraId="7FDD1042" w14:textId="77777777" w:rsidR="004F78BD" w:rsidRPr="0042251D" w:rsidRDefault="004F78BD" w:rsidP="003230AD">
            <w:pPr>
              <w:jc w:val="center"/>
              <w:rPr>
                <w:sz w:val="48"/>
                <w:szCs w:val="48"/>
              </w:rPr>
            </w:pPr>
          </w:p>
        </w:tc>
        <w:tc>
          <w:tcPr>
            <w:tcW w:w="2424" w:type="dxa"/>
          </w:tcPr>
          <w:p w14:paraId="5EC5B47A" w14:textId="77777777" w:rsidR="004F78BD" w:rsidRDefault="004F78BD" w:rsidP="003230AD"/>
        </w:tc>
      </w:tr>
      <w:tr w:rsidR="004F78BD" w14:paraId="7965B717" w14:textId="77777777" w:rsidTr="00720633">
        <w:tc>
          <w:tcPr>
            <w:tcW w:w="1256" w:type="dxa"/>
          </w:tcPr>
          <w:p w14:paraId="4A2F5B33" w14:textId="1D285FAF" w:rsidR="004F78BD" w:rsidRPr="00D8158F" w:rsidRDefault="0071364F" w:rsidP="007E4623">
            <w:pPr>
              <w:rPr>
                <w:rFonts w:cs="Arial"/>
                <w:b/>
                <w:bCs/>
                <w:color w:val="000000"/>
                <w:lang w:eastAsia="en-AU"/>
              </w:rPr>
            </w:pPr>
            <w:r w:rsidRPr="0071364F">
              <w:rPr>
                <w:rFonts w:cs="Arial"/>
                <w:b/>
                <w:bCs/>
                <w:color w:val="000000"/>
                <w:lang w:eastAsia="en-AU"/>
              </w:rPr>
              <w:t>TOPIC #016/2024: (Correctional Facilities Book)</w:t>
            </w:r>
          </w:p>
        </w:tc>
        <w:tc>
          <w:tcPr>
            <w:tcW w:w="6387" w:type="dxa"/>
          </w:tcPr>
          <w:p w14:paraId="59D5DF3F" w14:textId="77777777" w:rsidR="004F78BD" w:rsidRDefault="004F78BD" w:rsidP="008E13B2">
            <w:pPr>
              <w:rPr>
                <w:rFonts w:ascii="Arial" w:hAnsi="Arial" w:cs="Arial"/>
                <w:b/>
              </w:rPr>
            </w:pPr>
          </w:p>
          <w:p w14:paraId="4ECB3C91" w14:textId="77777777" w:rsidR="0071364F" w:rsidRDefault="0071364F" w:rsidP="0071364F">
            <w:pPr>
              <w:pStyle w:val="Default"/>
              <w:rPr>
                <w:sz w:val="22"/>
                <w:szCs w:val="22"/>
              </w:rPr>
            </w:pPr>
            <w:r>
              <w:rPr>
                <w:sz w:val="22"/>
                <w:szCs w:val="22"/>
              </w:rPr>
              <w:t xml:space="preserve">An anthology of stories from Australian members about Correctional Facilities. </w:t>
            </w:r>
          </w:p>
          <w:p w14:paraId="65DF634A" w14:textId="77777777" w:rsidR="0071364F" w:rsidRDefault="0071364F" w:rsidP="0071364F">
            <w:pPr>
              <w:pStyle w:val="Default"/>
              <w:rPr>
                <w:sz w:val="22"/>
                <w:szCs w:val="22"/>
              </w:rPr>
            </w:pPr>
            <w:r>
              <w:rPr>
                <w:sz w:val="22"/>
                <w:szCs w:val="22"/>
              </w:rPr>
              <w:t>Following on from the success of The Message Stick, a committee be formed to gather stories from members who have Correctional Facilities as part of their recovery story. Like our 2</w:t>
            </w:r>
            <w:r>
              <w:rPr>
                <w:sz w:val="14"/>
                <w:szCs w:val="14"/>
              </w:rPr>
              <w:t xml:space="preserve">nd </w:t>
            </w:r>
            <w:r>
              <w:rPr>
                <w:sz w:val="22"/>
                <w:szCs w:val="22"/>
              </w:rPr>
              <w:t xml:space="preserve">Edition Big Book and the Message Stick, the stories would have a distinctly Australian flavour. </w:t>
            </w:r>
          </w:p>
          <w:p w14:paraId="03BB0C35" w14:textId="45F0EBD8" w:rsidR="00C52AB8" w:rsidRPr="004F4D63" w:rsidRDefault="0071364F" w:rsidP="0071364F">
            <w:pPr>
              <w:rPr>
                <w:rFonts w:ascii="Arial" w:hAnsi="Arial" w:cs="Arial"/>
                <w:b/>
              </w:rPr>
            </w:pPr>
            <w:r>
              <w:lastRenderedPageBreak/>
              <w:t>Our GSO stocks books from the Grapevine who have successfully harvested the pages of the Grapevine to publish theme-based books. We have already proven we can also publish theme-based books.</w:t>
            </w:r>
          </w:p>
        </w:tc>
        <w:tc>
          <w:tcPr>
            <w:tcW w:w="841" w:type="dxa"/>
          </w:tcPr>
          <w:p w14:paraId="39D00646" w14:textId="77777777" w:rsidR="004F78BD" w:rsidRDefault="004F78BD" w:rsidP="003230AD">
            <w:pPr>
              <w:jc w:val="center"/>
            </w:pPr>
          </w:p>
        </w:tc>
        <w:tc>
          <w:tcPr>
            <w:tcW w:w="1082" w:type="dxa"/>
          </w:tcPr>
          <w:p w14:paraId="7C8D8E08" w14:textId="77777777" w:rsidR="004F78BD" w:rsidRDefault="004F78BD" w:rsidP="003230AD">
            <w:pPr>
              <w:jc w:val="center"/>
            </w:pPr>
          </w:p>
        </w:tc>
        <w:tc>
          <w:tcPr>
            <w:tcW w:w="970" w:type="dxa"/>
          </w:tcPr>
          <w:p w14:paraId="5D8ECA9B" w14:textId="77777777" w:rsidR="004F78BD" w:rsidRDefault="004F78BD" w:rsidP="003230AD">
            <w:pPr>
              <w:jc w:val="center"/>
            </w:pPr>
          </w:p>
        </w:tc>
        <w:tc>
          <w:tcPr>
            <w:tcW w:w="988" w:type="dxa"/>
          </w:tcPr>
          <w:p w14:paraId="49FF8655" w14:textId="77777777" w:rsidR="004F78BD" w:rsidRPr="0042251D" w:rsidRDefault="004F78BD" w:rsidP="003230AD">
            <w:pPr>
              <w:jc w:val="center"/>
              <w:rPr>
                <w:sz w:val="48"/>
                <w:szCs w:val="48"/>
              </w:rPr>
            </w:pPr>
          </w:p>
        </w:tc>
        <w:tc>
          <w:tcPr>
            <w:tcW w:w="2424" w:type="dxa"/>
          </w:tcPr>
          <w:p w14:paraId="6AD1458A" w14:textId="77777777" w:rsidR="004F78BD" w:rsidRDefault="004F78BD" w:rsidP="003230AD"/>
        </w:tc>
      </w:tr>
      <w:tr w:rsidR="004F78BD" w14:paraId="7D9C1D9C" w14:textId="77777777" w:rsidTr="00720633">
        <w:tc>
          <w:tcPr>
            <w:tcW w:w="1256" w:type="dxa"/>
          </w:tcPr>
          <w:p w14:paraId="51E5A55F" w14:textId="26CB579B" w:rsidR="004F78BD" w:rsidRPr="00D8158F" w:rsidRDefault="00624065" w:rsidP="00624065">
            <w:pPr>
              <w:rPr>
                <w:rFonts w:cs="Arial"/>
                <w:b/>
                <w:bCs/>
                <w:color w:val="000000"/>
                <w:lang w:eastAsia="en-AU"/>
              </w:rPr>
            </w:pPr>
            <w:r w:rsidRPr="00624065">
              <w:rPr>
                <w:rFonts w:cs="Arial"/>
                <w:b/>
                <w:bCs/>
                <w:color w:val="000000"/>
                <w:lang w:eastAsia="en-AU"/>
              </w:rPr>
              <w:t>TOPIC #017/2024: (Past Delegates and Trustees – Service Manual)</w:t>
            </w:r>
          </w:p>
        </w:tc>
        <w:tc>
          <w:tcPr>
            <w:tcW w:w="6387" w:type="dxa"/>
          </w:tcPr>
          <w:p w14:paraId="6A974D69" w14:textId="567AAA17" w:rsidR="004F78BD" w:rsidRPr="004F4D63" w:rsidRDefault="00706810" w:rsidP="00C52AB8">
            <w:pPr>
              <w:pStyle w:val="Header"/>
              <w:tabs>
                <w:tab w:val="clear" w:pos="4320"/>
              </w:tabs>
              <w:spacing w:after="0"/>
              <w:rPr>
                <w:rFonts w:cs="Arial"/>
                <w:b/>
              </w:rPr>
            </w:pPr>
            <w:r>
              <w:rPr>
                <w:szCs w:val="22"/>
              </w:rPr>
              <w:t xml:space="preserve">Suggested rewrite for the section on Past Delegates and Trustees in the Service Manual THE AREA PART 2 </w:t>
            </w:r>
            <w:proofErr w:type="spellStart"/>
            <w:r>
              <w:rPr>
                <w:szCs w:val="22"/>
              </w:rPr>
              <w:t>pg</w:t>
            </w:r>
            <w:proofErr w:type="spellEnd"/>
            <w:r>
              <w:rPr>
                <w:szCs w:val="22"/>
              </w:rPr>
              <w:t xml:space="preserve"> 15. See attachment.</w:t>
            </w:r>
          </w:p>
        </w:tc>
        <w:tc>
          <w:tcPr>
            <w:tcW w:w="841" w:type="dxa"/>
          </w:tcPr>
          <w:p w14:paraId="4981A78F" w14:textId="77777777" w:rsidR="004F78BD" w:rsidRDefault="004F78BD" w:rsidP="003230AD">
            <w:pPr>
              <w:jc w:val="center"/>
            </w:pPr>
          </w:p>
        </w:tc>
        <w:tc>
          <w:tcPr>
            <w:tcW w:w="1082" w:type="dxa"/>
          </w:tcPr>
          <w:p w14:paraId="0E0600CE" w14:textId="77777777" w:rsidR="004F78BD" w:rsidRDefault="004F78BD" w:rsidP="003230AD">
            <w:pPr>
              <w:jc w:val="center"/>
            </w:pPr>
          </w:p>
        </w:tc>
        <w:tc>
          <w:tcPr>
            <w:tcW w:w="970" w:type="dxa"/>
          </w:tcPr>
          <w:p w14:paraId="175988E0" w14:textId="77777777" w:rsidR="004F78BD" w:rsidRDefault="004F78BD" w:rsidP="003230AD">
            <w:pPr>
              <w:jc w:val="center"/>
            </w:pPr>
          </w:p>
        </w:tc>
        <w:tc>
          <w:tcPr>
            <w:tcW w:w="988" w:type="dxa"/>
          </w:tcPr>
          <w:p w14:paraId="60E4A907" w14:textId="77777777" w:rsidR="004F78BD" w:rsidRPr="0042251D" w:rsidRDefault="004F78BD" w:rsidP="003230AD">
            <w:pPr>
              <w:jc w:val="center"/>
              <w:rPr>
                <w:sz w:val="48"/>
                <w:szCs w:val="48"/>
              </w:rPr>
            </w:pPr>
          </w:p>
        </w:tc>
        <w:tc>
          <w:tcPr>
            <w:tcW w:w="2424" w:type="dxa"/>
          </w:tcPr>
          <w:p w14:paraId="3F355F77" w14:textId="77777777" w:rsidR="004F78BD" w:rsidRDefault="004F78BD" w:rsidP="003230AD"/>
        </w:tc>
      </w:tr>
      <w:tr w:rsidR="004F78BD" w14:paraId="0885FC59" w14:textId="77777777" w:rsidTr="00720633">
        <w:tc>
          <w:tcPr>
            <w:tcW w:w="1256" w:type="dxa"/>
          </w:tcPr>
          <w:p w14:paraId="62C63AEE" w14:textId="77777777" w:rsidR="004F78BD" w:rsidRPr="00D8158F" w:rsidRDefault="004F78BD" w:rsidP="00706810">
            <w:pPr>
              <w:rPr>
                <w:rFonts w:cs="Arial"/>
                <w:b/>
                <w:bCs/>
                <w:color w:val="000000"/>
                <w:lang w:eastAsia="en-AU"/>
              </w:rPr>
            </w:pPr>
          </w:p>
        </w:tc>
        <w:tc>
          <w:tcPr>
            <w:tcW w:w="6387" w:type="dxa"/>
          </w:tcPr>
          <w:p w14:paraId="5CFF2B8C" w14:textId="77777777" w:rsidR="004F78BD" w:rsidRPr="004F4D63" w:rsidRDefault="004F78BD" w:rsidP="00C52AB8">
            <w:pPr>
              <w:pStyle w:val="Header"/>
              <w:tabs>
                <w:tab w:val="clear" w:pos="4320"/>
              </w:tabs>
              <w:spacing w:after="0"/>
              <w:rPr>
                <w:rFonts w:cs="Arial"/>
                <w:b/>
              </w:rPr>
            </w:pPr>
          </w:p>
        </w:tc>
        <w:tc>
          <w:tcPr>
            <w:tcW w:w="841" w:type="dxa"/>
          </w:tcPr>
          <w:p w14:paraId="44367E6A" w14:textId="77777777" w:rsidR="004F78BD" w:rsidRDefault="004F78BD" w:rsidP="003230AD">
            <w:pPr>
              <w:jc w:val="center"/>
            </w:pPr>
          </w:p>
        </w:tc>
        <w:tc>
          <w:tcPr>
            <w:tcW w:w="1082" w:type="dxa"/>
          </w:tcPr>
          <w:p w14:paraId="799C7934" w14:textId="77777777" w:rsidR="004F78BD" w:rsidRDefault="004F78BD" w:rsidP="003230AD">
            <w:pPr>
              <w:jc w:val="center"/>
            </w:pPr>
          </w:p>
        </w:tc>
        <w:tc>
          <w:tcPr>
            <w:tcW w:w="970" w:type="dxa"/>
          </w:tcPr>
          <w:p w14:paraId="02E2B1C9" w14:textId="77777777" w:rsidR="004F78BD" w:rsidRDefault="004F78BD" w:rsidP="003230AD">
            <w:pPr>
              <w:jc w:val="center"/>
            </w:pPr>
          </w:p>
        </w:tc>
        <w:tc>
          <w:tcPr>
            <w:tcW w:w="988" w:type="dxa"/>
          </w:tcPr>
          <w:p w14:paraId="4DCB2317" w14:textId="77777777" w:rsidR="004F78BD" w:rsidRPr="0042251D" w:rsidRDefault="004F78BD" w:rsidP="003230AD">
            <w:pPr>
              <w:jc w:val="center"/>
              <w:rPr>
                <w:sz w:val="48"/>
                <w:szCs w:val="48"/>
              </w:rPr>
            </w:pPr>
          </w:p>
        </w:tc>
        <w:tc>
          <w:tcPr>
            <w:tcW w:w="2424" w:type="dxa"/>
          </w:tcPr>
          <w:p w14:paraId="050E169B" w14:textId="77777777" w:rsidR="004F78BD" w:rsidRDefault="004F78BD" w:rsidP="003230AD"/>
        </w:tc>
      </w:tr>
      <w:tr w:rsidR="004F78BD" w14:paraId="121A5DCC" w14:textId="77777777" w:rsidTr="00720633">
        <w:tc>
          <w:tcPr>
            <w:tcW w:w="1256" w:type="dxa"/>
          </w:tcPr>
          <w:p w14:paraId="70CE7C86" w14:textId="77777777" w:rsidR="004F78BD" w:rsidRPr="00D8158F" w:rsidRDefault="004F78BD" w:rsidP="00F85512">
            <w:pPr>
              <w:rPr>
                <w:rFonts w:cs="Arial"/>
                <w:b/>
                <w:bCs/>
                <w:color w:val="000000"/>
                <w:lang w:eastAsia="en-AU"/>
              </w:rPr>
            </w:pPr>
          </w:p>
        </w:tc>
        <w:tc>
          <w:tcPr>
            <w:tcW w:w="6387" w:type="dxa"/>
          </w:tcPr>
          <w:p w14:paraId="6601996B" w14:textId="77777777" w:rsidR="004F78BD" w:rsidRPr="004F4D63" w:rsidRDefault="004F78BD" w:rsidP="002D2740">
            <w:pPr>
              <w:spacing w:line="276" w:lineRule="auto"/>
              <w:rPr>
                <w:rFonts w:ascii="Arial" w:hAnsi="Arial" w:cs="Arial"/>
                <w:b/>
                <w:bCs/>
              </w:rPr>
            </w:pPr>
          </w:p>
          <w:p w14:paraId="2B17AAE7" w14:textId="77777777" w:rsidR="004F78BD" w:rsidRPr="004F4D63" w:rsidRDefault="004F78BD" w:rsidP="00C52AB8">
            <w:pPr>
              <w:spacing w:line="276" w:lineRule="auto"/>
              <w:rPr>
                <w:rFonts w:ascii="Arial" w:hAnsi="Arial" w:cs="Arial"/>
                <w:b/>
              </w:rPr>
            </w:pPr>
          </w:p>
        </w:tc>
        <w:tc>
          <w:tcPr>
            <w:tcW w:w="841" w:type="dxa"/>
          </w:tcPr>
          <w:p w14:paraId="4604241A" w14:textId="77777777" w:rsidR="004F78BD" w:rsidRDefault="004F78BD" w:rsidP="003230AD">
            <w:pPr>
              <w:jc w:val="center"/>
            </w:pPr>
          </w:p>
        </w:tc>
        <w:tc>
          <w:tcPr>
            <w:tcW w:w="1082" w:type="dxa"/>
          </w:tcPr>
          <w:p w14:paraId="27E9DE86" w14:textId="77777777" w:rsidR="004F78BD" w:rsidRDefault="004F78BD" w:rsidP="003230AD">
            <w:pPr>
              <w:jc w:val="center"/>
            </w:pPr>
          </w:p>
        </w:tc>
        <w:tc>
          <w:tcPr>
            <w:tcW w:w="970" w:type="dxa"/>
          </w:tcPr>
          <w:p w14:paraId="520A95CB" w14:textId="77777777" w:rsidR="004F78BD" w:rsidRDefault="004F78BD" w:rsidP="003230AD">
            <w:pPr>
              <w:jc w:val="center"/>
            </w:pPr>
          </w:p>
        </w:tc>
        <w:tc>
          <w:tcPr>
            <w:tcW w:w="988" w:type="dxa"/>
          </w:tcPr>
          <w:p w14:paraId="7B2161C9" w14:textId="77777777" w:rsidR="004F78BD" w:rsidRPr="0042251D" w:rsidRDefault="004F78BD" w:rsidP="003230AD">
            <w:pPr>
              <w:jc w:val="center"/>
              <w:rPr>
                <w:sz w:val="48"/>
                <w:szCs w:val="48"/>
              </w:rPr>
            </w:pPr>
          </w:p>
        </w:tc>
        <w:tc>
          <w:tcPr>
            <w:tcW w:w="2424" w:type="dxa"/>
          </w:tcPr>
          <w:p w14:paraId="4AB16271" w14:textId="77777777" w:rsidR="004F78BD" w:rsidRDefault="004F78BD" w:rsidP="003230AD"/>
        </w:tc>
      </w:tr>
      <w:tr w:rsidR="004F78BD" w14:paraId="2C525C37" w14:textId="77777777" w:rsidTr="00720633">
        <w:tc>
          <w:tcPr>
            <w:tcW w:w="1256" w:type="dxa"/>
          </w:tcPr>
          <w:p w14:paraId="78F66552" w14:textId="77777777" w:rsidR="004F78BD" w:rsidRDefault="004F78BD" w:rsidP="00F85512"/>
        </w:tc>
        <w:tc>
          <w:tcPr>
            <w:tcW w:w="6387" w:type="dxa"/>
          </w:tcPr>
          <w:p w14:paraId="716F91BE" w14:textId="77777777" w:rsidR="004F78BD" w:rsidRPr="00EA02B7" w:rsidRDefault="004F78BD" w:rsidP="00C52AB8">
            <w:pPr>
              <w:pStyle w:val="Header"/>
              <w:tabs>
                <w:tab w:val="clear" w:pos="4320"/>
              </w:tabs>
              <w:spacing w:after="0"/>
              <w:rPr>
                <w:rFonts w:cstheme="minorHAnsi"/>
              </w:rPr>
            </w:pPr>
          </w:p>
        </w:tc>
        <w:tc>
          <w:tcPr>
            <w:tcW w:w="841" w:type="dxa"/>
          </w:tcPr>
          <w:p w14:paraId="60372C71" w14:textId="77777777" w:rsidR="004F78BD" w:rsidRPr="0042251D" w:rsidRDefault="004F78BD" w:rsidP="003230AD">
            <w:pPr>
              <w:jc w:val="center"/>
              <w:rPr>
                <w:rFonts w:ascii="Webdings" w:hAnsi="Webdings"/>
                <w:sz w:val="48"/>
                <w:szCs w:val="48"/>
              </w:rPr>
            </w:pPr>
          </w:p>
        </w:tc>
        <w:tc>
          <w:tcPr>
            <w:tcW w:w="1082" w:type="dxa"/>
          </w:tcPr>
          <w:p w14:paraId="3FB0E629" w14:textId="77777777" w:rsidR="004F78BD" w:rsidRDefault="004F78BD" w:rsidP="003230AD">
            <w:pPr>
              <w:jc w:val="center"/>
            </w:pPr>
          </w:p>
        </w:tc>
        <w:tc>
          <w:tcPr>
            <w:tcW w:w="970" w:type="dxa"/>
          </w:tcPr>
          <w:p w14:paraId="007A7715" w14:textId="77777777" w:rsidR="004F78BD" w:rsidRDefault="004F78BD" w:rsidP="003230AD">
            <w:pPr>
              <w:jc w:val="center"/>
            </w:pPr>
          </w:p>
        </w:tc>
        <w:tc>
          <w:tcPr>
            <w:tcW w:w="988" w:type="dxa"/>
          </w:tcPr>
          <w:p w14:paraId="75371F57" w14:textId="77777777" w:rsidR="004F78BD" w:rsidRDefault="004F78BD" w:rsidP="003230AD">
            <w:pPr>
              <w:jc w:val="center"/>
            </w:pPr>
          </w:p>
        </w:tc>
        <w:tc>
          <w:tcPr>
            <w:tcW w:w="2424" w:type="dxa"/>
          </w:tcPr>
          <w:p w14:paraId="5EBA4E15" w14:textId="77777777" w:rsidR="004F78BD" w:rsidRDefault="004F78BD" w:rsidP="003230AD"/>
        </w:tc>
      </w:tr>
      <w:tr w:rsidR="004F78BD" w14:paraId="0092BB04" w14:textId="77777777" w:rsidTr="00720633">
        <w:tc>
          <w:tcPr>
            <w:tcW w:w="1256" w:type="dxa"/>
          </w:tcPr>
          <w:p w14:paraId="6EA862A0" w14:textId="2B3649CB" w:rsidR="004F78BD" w:rsidRPr="00D8158F" w:rsidRDefault="004F78BD" w:rsidP="003230AD">
            <w:pPr>
              <w:rPr>
                <w:rFonts w:cs="Arial"/>
                <w:b/>
                <w:bCs/>
                <w:color w:val="000000"/>
                <w:lang w:eastAsia="en-AU"/>
              </w:rPr>
            </w:pPr>
          </w:p>
        </w:tc>
        <w:tc>
          <w:tcPr>
            <w:tcW w:w="6387" w:type="dxa"/>
          </w:tcPr>
          <w:p w14:paraId="4337BA92" w14:textId="77777777" w:rsidR="004F78BD" w:rsidRPr="004F4D63" w:rsidRDefault="004F78BD" w:rsidP="00C52AB8">
            <w:pPr>
              <w:rPr>
                <w:rFonts w:ascii="Arial" w:hAnsi="Arial" w:cs="Arial"/>
                <w:b/>
              </w:rPr>
            </w:pPr>
          </w:p>
        </w:tc>
        <w:tc>
          <w:tcPr>
            <w:tcW w:w="841" w:type="dxa"/>
          </w:tcPr>
          <w:p w14:paraId="4BFD3B7F" w14:textId="77777777" w:rsidR="004F78BD" w:rsidRDefault="004F78BD" w:rsidP="003230AD">
            <w:pPr>
              <w:jc w:val="center"/>
            </w:pPr>
          </w:p>
        </w:tc>
        <w:tc>
          <w:tcPr>
            <w:tcW w:w="1082" w:type="dxa"/>
          </w:tcPr>
          <w:p w14:paraId="4CE0436A" w14:textId="77777777" w:rsidR="004F78BD" w:rsidRDefault="004F78BD" w:rsidP="003230AD">
            <w:pPr>
              <w:jc w:val="center"/>
            </w:pPr>
          </w:p>
        </w:tc>
        <w:tc>
          <w:tcPr>
            <w:tcW w:w="970" w:type="dxa"/>
          </w:tcPr>
          <w:p w14:paraId="52870FE6" w14:textId="77777777" w:rsidR="004F78BD" w:rsidRDefault="004F78BD" w:rsidP="003230AD">
            <w:pPr>
              <w:jc w:val="center"/>
            </w:pPr>
          </w:p>
        </w:tc>
        <w:tc>
          <w:tcPr>
            <w:tcW w:w="988" w:type="dxa"/>
          </w:tcPr>
          <w:p w14:paraId="2279D4F4" w14:textId="77777777" w:rsidR="004F78BD" w:rsidRPr="0042251D" w:rsidRDefault="004F78BD" w:rsidP="003230AD">
            <w:pPr>
              <w:jc w:val="center"/>
              <w:rPr>
                <w:sz w:val="48"/>
                <w:szCs w:val="48"/>
              </w:rPr>
            </w:pPr>
          </w:p>
        </w:tc>
        <w:tc>
          <w:tcPr>
            <w:tcW w:w="2424" w:type="dxa"/>
          </w:tcPr>
          <w:p w14:paraId="36EB6BC8" w14:textId="77777777" w:rsidR="004F78BD" w:rsidRDefault="004F78BD" w:rsidP="003230AD"/>
        </w:tc>
      </w:tr>
      <w:tr w:rsidR="004F78BD" w14:paraId="13DDDAF4" w14:textId="77777777" w:rsidTr="00720633">
        <w:tc>
          <w:tcPr>
            <w:tcW w:w="1256" w:type="dxa"/>
          </w:tcPr>
          <w:p w14:paraId="33BC34B5" w14:textId="77777777" w:rsidR="004F78BD" w:rsidRPr="00D8158F" w:rsidRDefault="004F78BD" w:rsidP="00F85512">
            <w:pPr>
              <w:rPr>
                <w:rFonts w:cs="Arial"/>
                <w:b/>
                <w:bCs/>
                <w:color w:val="000000"/>
                <w:lang w:eastAsia="en-AU"/>
              </w:rPr>
            </w:pPr>
          </w:p>
        </w:tc>
        <w:tc>
          <w:tcPr>
            <w:tcW w:w="6387" w:type="dxa"/>
          </w:tcPr>
          <w:p w14:paraId="40656465" w14:textId="77777777" w:rsidR="004F78BD" w:rsidRPr="004F4D63" w:rsidRDefault="004F78BD" w:rsidP="00C52AB8">
            <w:pPr>
              <w:pStyle w:val="Header"/>
              <w:tabs>
                <w:tab w:val="clear" w:pos="4320"/>
              </w:tabs>
              <w:spacing w:after="0"/>
              <w:rPr>
                <w:rFonts w:cs="Arial"/>
                <w:b/>
              </w:rPr>
            </w:pPr>
          </w:p>
        </w:tc>
        <w:tc>
          <w:tcPr>
            <w:tcW w:w="841" w:type="dxa"/>
          </w:tcPr>
          <w:p w14:paraId="0CC93AE1" w14:textId="77777777" w:rsidR="004F78BD" w:rsidRDefault="004F78BD" w:rsidP="003230AD">
            <w:pPr>
              <w:jc w:val="center"/>
            </w:pPr>
          </w:p>
        </w:tc>
        <w:tc>
          <w:tcPr>
            <w:tcW w:w="1082" w:type="dxa"/>
          </w:tcPr>
          <w:p w14:paraId="1EE48875" w14:textId="77777777" w:rsidR="004F78BD" w:rsidRDefault="004F78BD" w:rsidP="003230AD">
            <w:pPr>
              <w:jc w:val="center"/>
            </w:pPr>
          </w:p>
        </w:tc>
        <w:tc>
          <w:tcPr>
            <w:tcW w:w="970" w:type="dxa"/>
          </w:tcPr>
          <w:p w14:paraId="4053A541" w14:textId="77777777" w:rsidR="004F78BD" w:rsidRDefault="004F78BD" w:rsidP="003230AD">
            <w:pPr>
              <w:jc w:val="center"/>
            </w:pPr>
          </w:p>
        </w:tc>
        <w:tc>
          <w:tcPr>
            <w:tcW w:w="988" w:type="dxa"/>
          </w:tcPr>
          <w:p w14:paraId="63F783A8" w14:textId="77777777" w:rsidR="004F78BD" w:rsidRPr="0042251D" w:rsidRDefault="004F78BD" w:rsidP="003230AD">
            <w:pPr>
              <w:jc w:val="center"/>
              <w:rPr>
                <w:sz w:val="48"/>
                <w:szCs w:val="48"/>
              </w:rPr>
            </w:pPr>
          </w:p>
        </w:tc>
        <w:tc>
          <w:tcPr>
            <w:tcW w:w="2424" w:type="dxa"/>
          </w:tcPr>
          <w:p w14:paraId="2982A417" w14:textId="77777777" w:rsidR="004F78BD" w:rsidRDefault="004F78BD" w:rsidP="003230AD"/>
        </w:tc>
      </w:tr>
      <w:tr w:rsidR="004F78BD" w14:paraId="56FA7D78" w14:textId="77777777" w:rsidTr="00720633">
        <w:tc>
          <w:tcPr>
            <w:tcW w:w="1256" w:type="dxa"/>
          </w:tcPr>
          <w:p w14:paraId="559B89C9" w14:textId="77777777" w:rsidR="004F78BD" w:rsidRPr="00D8158F" w:rsidRDefault="004F78BD" w:rsidP="00F85512">
            <w:pPr>
              <w:pStyle w:val="Header"/>
              <w:tabs>
                <w:tab w:val="clear" w:pos="4320"/>
              </w:tabs>
              <w:spacing w:after="0"/>
              <w:rPr>
                <w:rFonts w:cs="Arial"/>
                <w:b/>
                <w:bCs/>
                <w:color w:val="000000"/>
                <w:lang w:eastAsia="en-AU"/>
              </w:rPr>
            </w:pPr>
          </w:p>
        </w:tc>
        <w:tc>
          <w:tcPr>
            <w:tcW w:w="6387" w:type="dxa"/>
          </w:tcPr>
          <w:p w14:paraId="0CF40252" w14:textId="77777777" w:rsidR="004F78BD" w:rsidRPr="004F4D63" w:rsidRDefault="004F78BD" w:rsidP="00CD5047">
            <w:pPr>
              <w:rPr>
                <w:rFonts w:ascii="Arial" w:hAnsi="Arial" w:cs="Arial"/>
              </w:rPr>
            </w:pPr>
          </w:p>
          <w:p w14:paraId="0809B6F8" w14:textId="77777777" w:rsidR="004F78BD" w:rsidRPr="004F4D63" w:rsidRDefault="004F78BD" w:rsidP="002D2740">
            <w:pPr>
              <w:rPr>
                <w:rFonts w:ascii="Arial" w:hAnsi="Arial" w:cs="Arial"/>
                <w:b/>
              </w:rPr>
            </w:pPr>
          </w:p>
        </w:tc>
        <w:tc>
          <w:tcPr>
            <w:tcW w:w="841" w:type="dxa"/>
          </w:tcPr>
          <w:p w14:paraId="77BCFDE4" w14:textId="77777777" w:rsidR="004F78BD" w:rsidRDefault="004F78BD" w:rsidP="003230AD">
            <w:pPr>
              <w:jc w:val="center"/>
            </w:pPr>
          </w:p>
        </w:tc>
        <w:tc>
          <w:tcPr>
            <w:tcW w:w="1082" w:type="dxa"/>
          </w:tcPr>
          <w:p w14:paraId="2864FDB4" w14:textId="77777777" w:rsidR="004F78BD" w:rsidRDefault="004F78BD" w:rsidP="003230AD">
            <w:pPr>
              <w:jc w:val="center"/>
            </w:pPr>
          </w:p>
        </w:tc>
        <w:tc>
          <w:tcPr>
            <w:tcW w:w="970" w:type="dxa"/>
          </w:tcPr>
          <w:p w14:paraId="4565AF31" w14:textId="77777777" w:rsidR="004F78BD" w:rsidRDefault="004F78BD" w:rsidP="003230AD">
            <w:pPr>
              <w:jc w:val="center"/>
            </w:pPr>
          </w:p>
        </w:tc>
        <w:tc>
          <w:tcPr>
            <w:tcW w:w="988" w:type="dxa"/>
          </w:tcPr>
          <w:p w14:paraId="68FECB9B" w14:textId="77777777" w:rsidR="004F78BD" w:rsidRPr="0042251D" w:rsidRDefault="004F78BD" w:rsidP="003230AD">
            <w:pPr>
              <w:jc w:val="center"/>
              <w:rPr>
                <w:sz w:val="48"/>
                <w:szCs w:val="48"/>
              </w:rPr>
            </w:pPr>
          </w:p>
        </w:tc>
        <w:tc>
          <w:tcPr>
            <w:tcW w:w="2424" w:type="dxa"/>
          </w:tcPr>
          <w:p w14:paraId="11D5ED3A" w14:textId="77777777" w:rsidR="004F78BD" w:rsidRDefault="004F78BD" w:rsidP="003230AD"/>
        </w:tc>
      </w:tr>
      <w:tr w:rsidR="004F78BD" w14:paraId="3EACE5B7" w14:textId="77777777" w:rsidTr="00720633">
        <w:tc>
          <w:tcPr>
            <w:tcW w:w="1256" w:type="dxa"/>
          </w:tcPr>
          <w:p w14:paraId="085F11E9" w14:textId="77777777" w:rsidR="004F78BD" w:rsidRPr="00D8158F" w:rsidRDefault="004F78BD" w:rsidP="00F85512">
            <w:pPr>
              <w:rPr>
                <w:rFonts w:cs="Arial"/>
                <w:b/>
                <w:bCs/>
                <w:color w:val="000000"/>
                <w:lang w:eastAsia="en-AU"/>
              </w:rPr>
            </w:pPr>
          </w:p>
        </w:tc>
        <w:tc>
          <w:tcPr>
            <w:tcW w:w="6387" w:type="dxa"/>
          </w:tcPr>
          <w:p w14:paraId="7C374A9F" w14:textId="77777777" w:rsidR="004F78BD" w:rsidRPr="004F4D63" w:rsidRDefault="004F78BD" w:rsidP="00C52AB8">
            <w:pPr>
              <w:rPr>
                <w:rFonts w:ascii="Arial" w:hAnsi="Arial" w:cs="Arial"/>
                <w:b/>
              </w:rPr>
            </w:pPr>
          </w:p>
        </w:tc>
        <w:tc>
          <w:tcPr>
            <w:tcW w:w="841" w:type="dxa"/>
          </w:tcPr>
          <w:p w14:paraId="7036BCB4" w14:textId="77777777" w:rsidR="004F78BD" w:rsidRDefault="004F78BD" w:rsidP="003230AD">
            <w:pPr>
              <w:jc w:val="center"/>
            </w:pPr>
          </w:p>
        </w:tc>
        <w:tc>
          <w:tcPr>
            <w:tcW w:w="1082" w:type="dxa"/>
          </w:tcPr>
          <w:p w14:paraId="7EF24AD6" w14:textId="77777777" w:rsidR="004F78BD" w:rsidRDefault="004F78BD" w:rsidP="003230AD">
            <w:pPr>
              <w:jc w:val="center"/>
            </w:pPr>
          </w:p>
        </w:tc>
        <w:tc>
          <w:tcPr>
            <w:tcW w:w="970" w:type="dxa"/>
          </w:tcPr>
          <w:p w14:paraId="302DE0EA" w14:textId="77777777" w:rsidR="004F78BD" w:rsidRDefault="004F78BD" w:rsidP="003230AD">
            <w:pPr>
              <w:jc w:val="center"/>
            </w:pPr>
          </w:p>
        </w:tc>
        <w:tc>
          <w:tcPr>
            <w:tcW w:w="988" w:type="dxa"/>
          </w:tcPr>
          <w:p w14:paraId="6B1A3D82" w14:textId="77777777" w:rsidR="004F78BD" w:rsidRPr="0042251D" w:rsidRDefault="004F78BD" w:rsidP="003230AD">
            <w:pPr>
              <w:jc w:val="center"/>
              <w:rPr>
                <w:sz w:val="48"/>
                <w:szCs w:val="48"/>
              </w:rPr>
            </w:pPr>
          </w:p>
        </w:tc>
        <w:tc>
          <w:tcPr>
            <w:tcW w:w="2424" w:type="dxa"/>
          </w:tcPr>
          <w:p w14:paraId="68B68F86" w14:textId="77777777" w:rsidR="004F78BD" w:rsidRDefault="004F78BD" w:rsidP="003230AD"/>
        </w:tc>
      </w:tr>
      <w:tr w:rsidR="004F78BD" w14:paraId="0136C4A4" w14:textId="77777777" w:rsidTr="00720633">
        <w:tc>
          <w:tcPr>
            <w:tcW w:w="1256" w:type="dxa"/>
          </w:tcPr>
          <w:p w14:paraId="28B2F92E" w14:textId="77777777" w:rsidR="004F78BD" w:rsidRPr="00D8158F" w:rsidRDefault="004F78BD" w:rsidP="00F85512">
            <w:pPr>
              <w:rPr>
                <w:rFonts w:cs="Arial"/>
                <w:b/>
                <w:bCs/>
                <w:color w:val="000000"/>
                <w:lang w:eastAsia="en-AU"/>
              </w:rPr>
            </w:pPr>
          </w:p>
        </w:tc>
        <w:tc>
          <w:tcPr>
            <w:tcW w:w="6387" w:type="dxa"/>
          </w:tcPr>
          <w:p w14:paraId="38840BF2" w14:textId="77777777" w:rsidR="004F78BD" w:rsidRPr="004F4D63" w:rsidRDefault="004F78BD" w:rsidP="00C52AB8">
            <w:pPr>
              <w:pStyle w:val="Header"/>
              <w:tabs>
                <w:tab w:val="clear" w:pos="4320"/>
              </w:tabs>
              <w:spacing w:after="0"/>
              <w:rPr>
                <w:rFonts w:cs="Arial"/>
                <w:b/>
                <w:bCs/>
              </w:rPr>
            </w:pPr>
          </w:p>
        </w:tc>
        <w:tc>
          <w:tcPr>
            <w:tcW w:w="841" w:type="dxa"/>
          </w:tcPr>
          <w:p w14:paraId="3CCB0BF8" w14:textId="77777777" w:rsidR="004F78BD" w:rsidRDefault="004F78BD" w:rsidP="003230AD">
            <w:pPr>
              <w:jc w:val="center"/>
            </w:pPr>
          </w:p>
        </w:tc>
        <w:tc>
          <w:tcPr>
            <w:tcW w:w="1082" w:type="dxa"/>
          </w:tcPr>
          <w:p w14:paraId="549706C1" w14:textId="77777777" w:rsidR="004F78BD" w:rsidRDefault="004F78BD" w:rsidP="003230AD">
            <w:pPr>
              <w:jc w:val="center"/>
            </w:pPr>
          </w:p>
        </w:tc>
        <w:tc>
          <w:tcPr>
            <w:tcW w:w="970" w:type="dxa"/>
          </w:tcPr>
          <w:p w14:paraId="40EAF5E7" w14:textId="77777777" w:rsidR="004F78BD" w:rsidRDefault="004F78BD" w:rsidP="003230AD">
            <w:pPr>
              <w:jc w:val="center"/>
            </w:pPr>
          </w:p>
        </w:tc>
        <w:tc>
          <w:tcPr>
            <w:tcW w:w="988" w:type="dxa"/>
          </w:tcPr>
          <w:p w14:paraId="10E865F4" w14:textId="77777777" w:rsidR="004F78BD" w:rsidRPr="0042251D" w:rsidRDefault="004F78BD" w:rsidP="003230AD">
            <w:pPr>
              <w:jc w:val="center"/>
              <w:rPr>
                <w:sz w:val="48"/>
                <w:szCs w:val="48"/>
              </w:rPr>
            </w:pPr>
          </w:p>
        </w:tc>
        <w:tc>
          <w:tcPr>
            <w:tcW w:w="2424" w:type="dxa"/>
          </w:tcPr>
          <w:p w14:paraId="3E9BFC9C" w14:textId="77777777" w:rsidR="004F78BD" w:rsidRDefault="004F78BD" w:rsidP="003230AD"/>
        </w:tc>
      </w:tr>
    </w:tbl>
    <w:p w14:paraId="63DC143F" w14:textId="70742320" w:rsidR="008579E5" w:rsidRDefault="008579E5"/>
    <w:sectPr w:rsidR="008579E5" w:rsidSect="009D0E00">
      <w:headerReference w:type="defaul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5EEF" w14:textId="77777777" w:rsidR="00524234" w:rsidRDefault="00524234" w:rsidP="007D5531">
      <w:pPr>
        <w:spacing w:after="0" w:line="240" w:lineRule="auto"/>
      </w:pPr>
      <w:r>
        <w:separator/>
      </w:r>
    </w:p>
  </w:endnote>
  <w:endnote w:type="continuationSeparator" w:id="0">
    <w:p w14:paraId="5D91FA77" w14:textId="77777777" w:rsidR="00524234" w:rsidRDefault="00524234" w:rsidP="007D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38F3" w14:textId="77777777" w:rsidR="00524234" w:rsidRDefault="00524234" w:rsidP="007D5531">
      <w:pPr>
        <w:spacing w:after="0" w:line="240" w:lineRule="auto"/>
      </w:pPr>
      <w:r>
        <w:separator/>
      </w:r>
    </w:p>
  </w:footnote>
  <w:footnote w:type="continuationSeparator" w:id="0">
    <w:p w14:paraId="395109E8" w14:textId="77777777" w:rsidR="00524234" w:rsidRDefault="00524234" w:rsidP="007D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838483"/>
      <w:docPartObj>
        <w:docPartGallery w:val="Page Numbers (Top of Page)"/>
        <w:docPartUnique/>
      </w:docPartObj>
    </w:sdtPr>
    <w:sdtEndPr>
      <w:rPr>
        <w:noProof/>
      </w:rPr>
    </w:sdtEndPr>
    <w:sdtContent>
      <w:p w14:paraId="687279ED" w14:textId="7BB4B689" w:rsidR="009D0E00" w:rsidRDefault="00783415">
        <w:pPr>
          <w:pStyle w:val="Header"/>
          <w:jc w:val="center"/>
        </w:pPr>
        <w:r>
          <w:t xml:space="preserve">Page </w:t>
        </w:r>
        <w:r w:rsidR="009D0E00">
          <w:fldChar w:fldCharType="begin"/>
        </w:r>
        <w:r w:rsidR="009D0E00">
          <w:instrText xml:space="preserve"> PAGE   \* MERGEFORMAT </w:instrText>
        </w:r>
        <w:r w:rsidR="009D0E00">
          <w:fldChar w:fldCharType="separate"/>
        </w:r>
        <w:r w:rsidR="009D0E00">
          <w:rPr>
            <w:noProof/>
          </w:rPr>
          <w:t>2</w:t>
        </w:r>
        <w:r w:rsidR="009D0E00">
          <w:rPr>
            <w:noProof/>
          </w:rPr>
          <w:fldChar w:fldCharType="end"/>
        </w:r>
        <w:r w:rsidR="009D0E00">
          <w:rPr>
            <w:noProof/>
          </w:rPr>
          <w:t xml:space="preserve"> – 2020 Conference Topics</w:t>
        </w:r>
      </w:p>
    </w:sdtContent>
  </w:sdt>
  <w:p w14:paraId="61233AE3" w14:textId="77777777" w:rsidR="009D0E00" w:rsidRDefault="009D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034B8"/>
    <w:multiLevelType w:val="hybridMultilevel"/>
    <w:tmpl w:val="67DE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E5D0F"/>
    <w:multiLevelType w:val="hybridMultilevel"/>
    <w:tmpl w:val="5BD6B02E"/>
    <w:lvl w:ilvl="0" w:tplc="58BA5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E95FAB"/>
    <w:multiLevelType w:val="hybridMultilevel"/>
    <w:tmpl w:val="D472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68174">
    <w:abstractNumId w:val="1"/>
  </w:num>
  <w:num w:numId="2" w16cid:durableId="1798722121">
    <w:abstractNumId w:val="0"/>
  </w:num>
  <w:num w:numId="3" w16cid:durableId="29348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E5"/>
    <w:rsid w:val="000059F8"/>
    <w:rsid w:val="000517B0"/>
    <w:rsid w:val="00064637"/>
    <w:rsid w:val="00093B42"/>
    <w:rsid w:val="000F7A91"/>
    <w:rsid w:val="001111D0"/>
    <w:rsid w:val="00134F96"/>
    <w:rsid w:val="00171694"/>
    <w:rsid w:val="0018579D"/>
    <w:rsid w:val="001B14F0"/>
    <w:rsid w:val="00210833"/>
    <w:rsid w:val="00215A08"/>
    <w:rsid w:val="00220F60"/>
    <w:rsid w:val="0023444B"/>
    <w:rsid w:val="00236B80"/>
    <w:rsid w:val="002437FC"/>
    <w:rsid w:val="0026108C"/>
    <w:rsid w:val="00263D86"/>
    <w:rsid w:val="00265055"/>
    <w:rsid w:val="00266128"/>
    <w:rsid w:val="002A091F"/>
    <w:rsid w:val="002D2740"/>
    <w:rsid w:val="002E22EC"/>
    <w:rsid w:val="003156E0"/>
    <w:rsid w:val="003230AD"/>
    <w:rsid w:val="0032639E"/>
    <w:rsid w:val="00353FB0"/>
    <w:rsid w:val="00363C12"/>
    <w:rsid w:val="0042251D"/>
    <w:rsid w:val="00457509"/>
    <w:rsid w:val="00481041"/>
    <w:rsid w:val="004C4852"/>
    <w:rsid w:val="004F6445"/>
    <w:rsid w:val="004F78BD"/>
    <w:rsid w:val="005155F9"/>
    <w:rsid w:val="00524234"/>
    <w:rsid w:val="005B6702"/>
    <w:rsid w:val="005B7C20"/>
    <w:rsid w:val="005F2413"/>
    <w:rsid w:val="00624065"/>
    <w:rsid w:val="006469F5"/>
    <w:rsid w:val="00694CCD"/>
    <w:rsid w:val="006C6A1B"/>
    <w:rsid w:val="00706810"/>
    <w:rsid w:val="0071364F"/>
    <w:rsid w:val="00713F5F"/>
    <w:rsid w:val="00720633"/>
    <w:rsid w:val="00783415"/>
    <w:rsid w:val="00794731"/>
    <w:rsid w:val="007A7E50"/>
    <w:rsid w:val="007C2550"/>
    <w:rsid w:val="007D5531"/>
    <w:rsid w:val="007E40F2"/>
    <w:rsid w:val="007E4623"/>
    <w:rsid w:val="00816947"/>
    <w:rsid w:val="008579E5"/>
    <w:rsid w:val="00862101"/>
    <w:rsid w:val="00872076"/>
    <w:rsid w:val="008947CE"/>
    <w:rsid w:val="008B650E"/>
    <w:rsid w:val="008E13B2"/>
    <w:rsid w:val="00906B6E"/>
    <w:rsid w:val="00944404"/>
    <w:rsid w:val="0098579C"/>
    <w:rsid w:val="009906F9"/>
    <w:rsid w:val="009923B6"/>
    <w:rsid w:val="009C4FDD"/>
    <w:rsid w:val="009D0E00"/>
    <w:rsid w:val="00A07EC9"/>
    <w:rsid w:val="00A47E0E"/>
    <w:rsid w:val="00A7321A"/>
    <w:rsid w:val="00B02942"/>
    <w:rsid w:val="00B22E14"/>
    <w:rsid w:val="00B37AE4"/>
    <w:rsid w:val="00BB14F6"/>
    <w:rsid w:val="00BC58CE"/>
    <w:rsid w:val="00C26521"/>
    <w:rsid w:val="00C27853"/>
    <w:rsid w:val="00C52AB8"/>
    <w:rsid w:val="00C67446"/>
    <w:rsid w:val="00C738CC"/>
    <w:rsid w:val="00C858F7"/>
    <w:rsid w:val="00C94B8C"/>
    <w:rsid w:val="00CD5047"/>
    <w:rsid w:val="00D20679"/>
    <w:rsid w:val="00D47B8E"/>
    <w:rsid w:val="00D55F90"/>
    <w:rsid w:val="00D60CA5"/>
    <w:rsid w:val="00D817E7"/>
    <w:rsid w:val="00D8787D"/>
    <w:rsid w:val="00DB537A"/>
    <w:rsid w:val="00E31A08"/>
    <w:rsid w:val="00E614A4"/>
    <w:rsid w:val="00E73C70"/>
    <w:rsid w:val="00E976A3"/>
    <w:rsid w:val="00EA02B7"/>
    <w:rsid w:val="00EA108F"/>
    <w:rsid w:val="00F07A8A"/>
    <w:rsid w:val="00F42995"/>
    <w:rsid w:val="00F52322"/>
    <w:rsid w:val="00F85512"/>
    <w:rsid w:val="00FA568E"/>
    <w:rsid w:val="00FA7372"/>
    <w:rsid w:val="00FD3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4ED8"/>
  <w15:chartTrackingRefBased/>
  <w15:docId w15:val="{D0ECF1C5-9BCE-4C3A-B0F6-C235540B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E5"/>
    <w:pPr>
      <w:spacing w:before="100" w:beforeAutospacing="1" w:after="100" w:afterAutospacing="1" w:line="240" w:lineRule="auto"/>
    </w:pPr>
    <w:rPr>
      <w:rFonts w:ascii="Times New Roman" w:eastAsia="Calibri" w:hAnsi="Times New Roman" w:cs="Times New Roman"/>
      <w:sz w:val="24"/>
      <w:szCs w:val="24"/>
      <w:lang w:eastAsia="en-AU"/>
    </w:rPr>
  </w:style>
  <w:style w:type="paragraph" w:styleId="Header">
    <w:name w:val="header"/>
    <w:basedOn w:val="Normal"/>
    <w:link w:val="HeaderChar"/>
    <w:rsid w:val="008579E5"/>
    <w:pPr>
      <w:tabs>
        <w:tab w:val="center" w:pos="4320"/>
        <w:tab w:val="right" w:pos="8640"/>
      </w:tabs>
      <w:spacing w:after="120" w:line="240" w:lineRule="auto"/>
    </w:pPr>
    <w:rPr>
      <w:rFonts w:ascii="Arial" w:eastAsia="Times New Roman" w:hAnsi="Arial" w:cs="Times New Roman"/>
      <w:spacing w:val="-2"/>
      <w:szCs w:val="20"/>
    </w:rPr>
  </w:style>
  <w:style w:type="character" w:customStyle="1" w:styleId="HeaderChar">
    <w:name w:val="Header Char"/>
    <w:basedOn w:val="DefaultParagraphFont"/>
    <w:link w:val="Header"/>
    <w:rsid w:val="008579E5"/>
    <w:rPr>
      <w:rFonts w:ascii="Arial" w:eastAsia="Times New Roman" w:hAnsi="Arial" w:cs="Times New Roman"/>
      <w:spacing w:val="-2"/>
      <w:szCs w:val="20"/>
    </w:rPr>
  </w:style>
  <w:style w:type="paragraph" w:styleId="ListParagraph">
    <w:name w:val="List Paragraph"/>
    <w:basedOn w:val="Normal"/>
    <w:uiPriority w:val="34"/>
    <w:qFormat/>
    <w:rsid w:val="00B22E14"/>
    <w:pPr>
      <w:ind w:left="720"/>
      <w:contextualSpacing/>
    </w:pPr>
  </w:style>
  <w:style w:type="paragraph" w:styleId="BalloonText">
    <w:name w:val="Balloon Text"/>
    <w:basedOn w:val="Normal"/>
    <w:link w:val="BalloonTextChar"/>
    <w:uiPriority w:val="99"/>
    <w:semiHidden/>
    <w:unhideWhenUsed/>
    <w:rsid w:val="00236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80"/>
    <w:rPr>
      <w:rFonts w:ascii="Segoe UI" w:hAnsi="Segoe UI" w:cs="Segoe UI"/>
      <w:sz w:val="18"/>
      <w:szCs w:val="18"/>
    </w:rPr>
  </w:style>
  <w:style w:type="character" w:styleId="Hyperlink">
    <w:name w:val="Hyperlink"/>
    <w:basedOn w:val="DefaultParagraphFont"/>
    <w:uiPriority w:val="99"/>
    <w:unhideWhenUsed/>
    <w:rsid w:val="007D5531"/>
    <w:rPr>
      <w:color w:val="0563C1" w:themeColor="hyperlink"/>
      <w:u w:val="single"/>
    </w:rPr>
  </w:style>
  <w:style w:type="character" w:styleId="FootnoteReference">
    <w:name w:val="footnote reference"/>
    <w:basedOn w:val="DefaultParagraphFont"/>
    <w:unhideWhenUsed/>
    <w:rsid w:val="007D5531"/>
    <w:rPr>
      <w:vertAlign w:val="superscript"/>
    </w:rPr>
  </w:style>
  <w:style w:type="character" w:customStyle="1" w:styleId="citation">
    <w:name w:val="citation"/>
    <w:rsid w:val="007D5531"/>
  </w:style>
  <w:style w:type="character" w:customStyle="1" w:styleId="doi">
    <w:name w:val="doi"/>
    <w:rsid w:val="007D5531"/>
  </w:style>
  <w:style w:type="character" w:styleId="EndnoteReference">
    <w:name w:val="endnote reference"/>
    <w:rsid w:val="007D5531"/>
    <w:rPr>
      <w:vertAlign w:val="superscript"/>
    </w:rPr>
  </w:style>
  <w:style w:type="paragraph" w:styleId="Footer">
    <w:name w:val="footer"/>
    <w:basedOn w:val="Normal"/>
    <w:link w:val="FooterChar"/>
    <w:uiPriority w:val="99"/>
    <w:unhideWhenUsed/>
    <w:rsid w:val="009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E00"/>
  </w:style>
  <w:style w:type="paragraph" w:styleId="EndnoteText">
    <w:name w:val="endnote text"/>
    <w:basedOn w:val="Normal"/>
    <w:link w:val="EndnoteTextChar"/>
    <w:uiPriority w:val="99"/>
    <w:semiHidden/>
    <w:unhideWhenUsed/>
    <w:rsid w:val="002D27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2740"/>
    <w:rPr>
      <w:sz w:val="20"/>
      <w:szCs w:val="20"/>
    </w:rPr>
  </w:style>
  <w:style w:type="paragraph" w:customStyle="1" w:styleId="Default">
    <w:name w:val="Default"/>
    <w:rsid w:val="00C94B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11515</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Frost</dc:creator>
  <cp:keywords/>
  <dc:description/>
  <cp:lastModifiedBy>kate seabrook</cp:lastModifiedBy>
  <cp:revision>2</cp:revision>
  <cp:lastPrinted>2019-09-19T00:29:00Z</cp:lastPrinted>
  <dcterms:created xsi:type="dcterms:W3CDTF">2024-08-18T07:42:00Z</dcterms:created>
  <dcterms:modified xsi:type="dcterms:W3CDTF">2024-08-18T07:42:00Z</dcterms:modified>
</cp:coreProperties>
</file>